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41E2" w14:textId="77777777" w:rsidR="001D02CE" w:rsidRPr="004B752C" w:rsidRDefault="001D02CE" w:rsidP="00236EF8">
      <w:pPr>
        <w:spacing w:after="0" w:line="360" w:lineRule="auto"/>
        <w:ind w:left="284"/>
        <w:jc w:val="center"/>
        <w:rPr>
          <w:rFonts w:cstheme="minorHAnsi"/>
          <w:b/>
          <w:caps/>
          <w:sz w:val="40"/>
          <w:szCs w:val="40"/>
          <w:lang w:val="en-US"/>
        </w:rPr>
      </w:pPr>
      <w:r w:rsidRPr="004B752C">
        <w:rPr>
          <w:rFonts w:cstheme="minorHAnsi"/>
          <w:b/>
          <w:caps/>
          <w:sz w:val="44"/>
          <w:szCs w:val="44"/>
          <w:lang w:val="en-US"/>
        </w:rPr>
        <w:t xml:space="preserve">EU Code of Conduct on </w:t>
      </w:r>
      <w:r w:rsidRPr="004B752C">
        <w:rPr>
          <w:rFonts w:cstheme="minorHAnsi"/>
          <w:b/>
          <w:caps/>
          <w:sz w:val="44"/>
          <w:szCs w:val="44"/>
          <w:lang w:val="en-US"/>
        </w:rPr>
        <w:br/>
        <w:t>responsible FOOD business and marketing practices</w:t>
      </w:r>
    </w:p>
    <w:p w14:paraId="72A268DE" w14:textId="77777777" w:rsidR="001D02CE" w:rsidRPr="004B752C" w:rsidRDefault="001D02CE" w:rsidP="00236EF8">
      <w:pPr>
        <w:spacing w:after="0" w:line="360" w:lineRule="auto"/>
        <w:ind w:left="284"/>
        <w:contextualSpacing/>
        <w:jc w:val="center"/>
        <w:rPr>
          <w:rFonts w:cstheme="minorHAnsi"/>
          <w:bCs/>
          <w:i/>
          <w:iCs/>
          <w:sz w:val="32"/>
          <w:szCs w:val="32"/>
          <w:lang w:val="en-US"/>
        </w:rPr>
      </w:pPr>
      <w:r w:rsidRPr="004B752C">
        <w:rPr>
          <w:rFonts w:cstheme="minorHAnsi"/>
          <w:bCs/>
          <w:i/>
          <w:iCs/>
          <w:sz w:val="32"/>
          <w:szCs w:val="32"/>
          <w:lang w:val="en-US"/>
        </w:rPr>
        <w:t xml:space="preserve">A common aspirational path </w:t>
      </w:r>
    </w:p>
    <w:p w14:paraId="5B9E10E5" w14:textId="77777777" w:rsidR="001D02CE" w:rsidRPr="004B752C" w:rsidRDefault="001D02CE" w:rsidP="00236EF8">
      <w:pPr>
        <w:spacing w:after="0" w:line="360" w:lineRule="auto"/>
        <w:ind w:left="284"/>
        <w:contextualSpacing/>
        <w:jc w:val="center"/>
        <w:rPr>
          <w:rFonts w:cstheme="minorHAnsi"/>
          <w:bCs/>
          <w:i/>
          <w:iCs/>
          <w:sz w:val="32"/>
          <w:szCs w:val="32"/>
          <w:lang w:val="en-US"/>
        </w:rPr>
      </w:pPr>
      <w:r w:rsidRPr="004B752C">
        <w:rPr>
          <w:rFonts w:cstheme="minorHAnsi"/>
          <w:bCs/>
          <w:i/>
          <w:iCs/>
          <w:sz w:val="32"/>
          <w:szCs w:val="32"/>
          <w:lang w:val="en-US"/>
        </w:rPr>
        <w:t>towards achieving sustainable food systems</w:t>
      </w:r>
    </w:p>
    <w:p w14:paraId="59FB11F5" w14:textId="4DD1EBA6" w:rsidR="00BE6AC1" w:rsidRPr="004B752C" w:rsidRDefault="00FE38FE" w:rsidP="00236EF8">
      <w:pPr>
        <w:tabs>
          <w:tab w:val="left" w:pos="6255"/>
        </w:tabs>
        <w:ind w:left="284"/>
        <w:rPr>
          <w:lang w:val="en-US"/>
        </w:rPr>
      </w:pPr>
      <w:r>
        <w:rPr>
          <w:lang w:val="en-US"/>
        </w:rPr>
        <w:tab/>
      </w:r>
    </w:p>
    <w:p w14:paraId="0FECCC02" w14:textId="77777777" w:rsidR="0038078E" w:rsidRPr="005655EF" w:rsidRDefault="0038078E" w:rsidP="00236EF8">
      <w:pPr>
        <w:pStyle w:val="ListParagraph"/>
        <w:numPr>
          <w:ilvl w:val="0"/>
          <w:numId w:val="29"/>
        </w:numPr>
        <w:ind w:left="284"/>
        <w:rPr>
          <w:b/>
          <w:bCs/>
          <w:sz w:val="36"/>
          <w:szCs w:val="36"/>
          <w:lang w:val="en-US"/>
        </w:rPr>
      </w:pPr>
      <w:r w:rsidRPr="005655EF">
        <w:rPr>
          <w:b/>
          <w:bCs/>
          <w:color w:val="800000"/>
          <w:sz w:val="36"/>
          <w:szCs w:val="36"/>
          <w:lang w:val="en-US"/>
        </w:rPr>
        <w:t>Annual Report – Check list for EU associations</w:t>
      </w:r>
      <w:r w:rsidR="00C61AF3" w:rsidRPr="005655EF">
        <w:rPr>
          <w:b/>
          <w:bCs/>
          <w:sz w:val="36"/>
          <w:szCs w:val="36"/>
          <w:lang w:val="en-US"/>
        </w:rPr>
        <w:t xml:space="preserve"> -</w:t>
      </w:r>
    </w:p>
    <w:p w14:paraId="0A5B20B4" w14:textId="77777777" w:rsidR="00C61AF3" w:rsidRDefault="00C61AF3" w:rsidP="00236EF8">
      <w:pPr>
        <w:ind w:left="284"/>
        <w:jc w:val="both"/>
        <w:rPr>
          <w:lang w:val="en-US"/>
        </w:rPr>
      </w:pPr>
    </w:p>
    <w:p w14:paraId="650240CD" w14:textId="77777777" w:rsidR="00402405" w:rsidRDefault="00402405" w:rsidP="00236EF8">
      <w:pPr>
        <w:ind w:left="284"/>
        <w:jc w:val="both"/>
        <w:rPr>
          <w:lang w:val="en-US"/>
        </w:rPr>
      </w:pPr>
      <w:r>
        <w:rPr>
          <w:lang w:val="en-US"/>
        </w:rPr>
        <w:t xml:space="preserve">When signing the code, one </w:t>
      </w:r>
      <w:r w:rsidR="00F6578E">
        <w:rPr>
          <w:lang w:val="en-US"/>
        </w:rPr>
        <w:t xml:space="preserve">of the </w:t>
      </w:r>
      <w:r>
        <w:rPr>
          <w:lang w:val="en-US"/>
        </w:rPr>
        <w:t>commitment</w:t>
      </w:r>
      <w:r w:rsidR="00F6578E">
        <w:rPr>
          <w:lang w:val="en-US"/>
        </w:rPr>
        <w:t>s</w:t>
      </w:r>
      <w:r>
        <w:rPr>
          <w:lang w:val="en-US"/>
        </w:rPr>
        <w:t xml:space="preserve"> of EU associations is to provide “</w:t>
      </w:r>
      <w:r w:rsidRPr="004B752C">
        <w:rPr>
          <w:i/>
          <w:iCs/>
          <w:lang w:val="en-US"/>
        </w:rPr>
        <w:t>on an annual basis, a report of their activities in support of this Code, which will be published on an open dedicated website</w:t>
      </w:r>
      <w:r>
        <w:rPr>
          <w:lang w:val="en-US"/>
        </w:rPr>
        <w:t>”.</w:t>
      </w:r>
    </w:p>
    <w:p w14:paraId="227CE725" w14:textId="77777777" w:rsidR="0041540C" w:rsidRDefault="0041540C" w:rsidP="00236EF8">
      <w:pPr>
        <w:ind w:left="284"/>
        <w:jc w:val="both"/>
        <w:rPr>
          <w:lang w:val="en-US"/>
        </w:rPr>
      </w:pPr>
      <w:proofErr w:type="gramStart"/>
      <w:r>
        <w:rPr>
          <w:lang w:val="en-US"/>
        </w:rPr>
        <w:t>In order to</w:t>
      </w:r>
      <w:proofErr w:type="gramEnd"/>
      <w:r>
        <w:rPr>
          <w:lang w:val="en-US"/>
        </w:rPr>
        <w:t xml:space="preserve"> help </w:t>
      </w:r>
      <w:r w:rsidR="00402405">
        <w:rPr>
          <w:lang w:val="en-US"/>
        </w:rPr>
        <w:t>EU associations to provide their annual report of activities, this document aims at providing a check list to guide associations.</w:t>
      </w:r>
    </w:p>
    <w:p w14:paraId="2CBC34C9" w14:textId="77777777" w:rsidR="00402405" w:rsidRDefault="00402405" w:rsidP="00236EF8">
      <w:pPr>
        <w:ind w:left="284"/>
        <w:jc w:val="both"/>
        <w:rPr>
          <w:lang w:val="en-US"/>
        </w:rPr>
      </w:pPr>
    </w:p>
    <w:p w14:paraId="4B41BB4A" w14:textId="35742977" w:rsidR="00402405" w:rsidRDefault="00402405" w:rsidP="00236EF8">
      <w:pPr>
        <w:pStyle w:val="ListParagraph"/>
        <w:numPr>
          <w:ilvl w:val="0"/>
          <w:numId w:val="18"/>
        </w:numPr>
        <w:ind w:left="284"/>
        <w:jc w:val="both"/>
        <w:rPr>
          <w:b/>
          <w:bCs/>
          <w:lang w:val="en-US"/>
        </w:rPr>
      </w:pPr>
      <w:r w:rsidRPr="007F6E04">
        <w:rPr>
          <w:b/>
          <w:bCs/>
          <w:lang w:val="en-US"/>
        </w:rPr>
        <w:t>General information</w:t>
      </w:r>
    </w:p>
    <w:p w14:paraId="44678DC7" w14:textId="77777777" w:rsidR="00F34327" w:rsidRPr="00F34327" w:rsidRDefault="00F34327" w:rsidP="00236EF8">
      <w:pPr>
        <w:ind w:left="284"/>
        <w:jc w:val="both"/>
        <w:rPr>
          <w:b/>
          <w:bCs/>
          <w:lang w:val="en-US"/>
        </w:rPr>
      </w:pPr>
    </w:p>
    <w:tbl>
      <w:tblPr>
        <w:tblStyle w:val="TableGrid"/>
        <w:tblW w:w="13524" w:type="dxa"/>
        <w:tblLook w:val="04A0" w:firstRow="1" w:lastRow="0" w:firstColumn="1" w:lastColumn="0" w:noHBand="0" w:noVBand="1"/>
      </w:tblPr>
      <w:tblGrid>
        <w:gridCol w:w="4508"/>
        <w:gridCol w:w="4508"/>
        <w:gridCol w:w="4508"/>
      </w:tblGrid>
      <w:tr w:rsidR="0096783A" w14:paraId="56CA110E" w14:textId="77777777" w:rsidTr="0096783A">
        <w:tc>
          <w:tcPr>
            <w:tcW w:w="4508" w:type="dxa"/>
          </w:tcPr>
          <w:p w14:paraId="33BAEF88" w14:textId="77777777" w:rsidR="0096783A" w:rsidRDefault="0096783A" w:rsidP="00236EF8">
            <w:pPr>
              <w:ind w:left="284"/>
              <w:jc w:val="both"/>
              <w:rPr>
                <w:lang w:val="en-US"/>
              </w:rPr>
            </w:pPr>
            <w:r>
              <w:rPr>
                <w:lang w:val="en-US"/>
              </w:rPr>
              <w:t>Name in full + acronym</w:t>
            </w:r>
          </w:p>
        </w:tc>
        <w:tc>
          <w:tcPr>
            <w:tcW w:w="4508" w:type="dxa"/>
          </w:tcPr>
          <w:p w14:paraId="159C6B15" w14:textId="394F79D0" w:rsidR="0096783A" w:rsidRPr="0096783A" w:rsidRDefault="0096783A" w:rsidP="00236EF8">
            <w:pPr>
              <w:ind w:left="284"/>
              <w:jc w:val="both"/>
              <w:rPr>
                <w:lang w:val="fr-BE"/>
              </w:rPr>
            </w:pPr>
            <w:r w:rsidRPr="00383643">
              <w:rPr>
                <w:lang w:val="fr-BE"/>
              </w:rPr>
              <w:t>Federation Européenne des Fabricants d</w:t>
            </w:r>
            <w:r>
              <w:rPr>
                <w:lang w:val="fr-BE"/>
              </w:rPr>
              <w:t>es Aliments Composés / FEFAC</w:t>
            </w:r>
          </w:p>
        </w:tc>
        <w:tc>
          <w:tcPr>
            <w:tcW w:w="4508" w:type="dxa"/>
          </w:tcPr>
          <w:p w14:paraId="25841298" w14:textId="036D5D2E" w:rsidR="0096783A" w:rsidRPr="0096783A" w:rsidRDefault="0096783A" w:rsidP="00236EF8">
            <w:pPr>
              <w:ind w:left="284"/>
              <w:jc w:val="both"/>
              <w:rPr>
                <w:lang w:val="fr-BE"/>
              </w:rPr>
            </w:pPr>
          </w:p>
        </w:tc>
      </w:tr>
      <w:tr w:rsidR="0096783A" w:rsidRPr="00923E7F" w14:paraId="32B01489" w14:textId="77777777" w:rsidTr="0096783A">
        <w:tc>
          <w:tcPr>
            <w:tcW w:w="4508" w:type="dxa"/>
          </w:tcPr>
          <w:p w14:paraId="20FD3D00" w14:textId="77777777" w:rsidR="0096783A" w:rsidRDefault="0096783A" w:rsidP="00236EF8">
            <w:pPr>
              <w:ind w:left="284"/>
              <w:jc w:val="both"/>
              <w:rPr>
                <w:lang w:val="en-US"/>
              </w:rPr>
            </w:pPr>
            <w:r>
              <w:rPr>
                <w:lang w:val="en-US"/>
              </w:rPr>
              <w:t>Contact person with contact details</w:t>
            </w:r>
          </w:p>
        </w:tc>
        <w:tc>
          <w:tcPr>
            <w:tcW w:w="4508" w:type="dxa"/>
          </w:tcPr>
          <w:p w14:paraId="107BE522" w14:textId="3900FB27" w:rsidR="0096783A" w:rsidRDefault="0096783A" w:rsidP="00236EF8">
            <w:pPr>
              <w:ind w:left="284"/>
              <w:jc w:val="both"/>
              <w:rPr>
                <w:lang w:val="en-US"/>
              </w:rPr>
            </w:pPr>
            <w:r>
              <w:rPr>
                <w:lang w:val="en-US"/>
              </w:rPr>
              <w:t>Anton van den Brink</w:t>
            </w:r>
          </w:p>
        </w:tc>
        <w:tc>
          <w:tcPr>
            <w:tcW w:w="4508" w:type="dxa"/>
          </w:tcPr>
          <w:p w14:paraId="2E19E698" w14:textId="2CC4AF0A" w:rsidR="0096783A" w:rsidRDefault="0096783A" w:rsidP="00236EF8">
            <w:pPr>
              <w:ind w:left="284"/>
              <w:jc w:val="both"/>
              <w:rPr>
                <w:lang w:val="en-US"/>
              </w:rPr>
            </w:pPr>
          </w:p>
        </w:tc>
      </w:tr>
      <w:tr w:rsidR="0096783A" w:rsidRPr="00923E7F" w14:paraId="6637F71D" w14:textId="77777777" w:rsidTr="0096783A">
        <w:tc>
          <w:tcPr>
            <w:tcW w:w="4508" w:type="dxa"/>
          </w:tcPr>
          <w:p w14:paraId="281091E7" w14:textId="77777777" w:rsidR="0096783A" w:rsidRDefault="0096783A" w:rsidP="00236EF8">
            <w:pPr>
              <w:ind w:left="284"/>
              <w:jc w:val="both"/>
              <w:rPr>
                <w:lang w:val="en-US"/>
              </w:rPr>
            </w:pPr>
            <w:r>
              <w:rPr>
                <w:lang w:val="en-US"/>
              </w:rPr>
              <w:t>N° in the transparency register*</w:t>
            </w:r>
          </w:p>
        </w:tc>
        <w:tc>
          <w:tcPr>
            <w:tcW w:w="4508" w:type="dxa"/>
          </w:tcPr>
          <w:p w14:paraId="59090397" w14:textId="75AFD1CB" w:rsidR="0096783A" w:rsidRDefault="0096783A" w:rsidP="00236EF8">
            <w:pPr>
              <w:ind w:left="284"/>
              <w:jc w:val="both"/>
              <w:rPr>
                <w:lang w:val="en-US"/>
              </w:rPr>
            </w:pPr>
            <w:r>
              <w:rPr>
                <w:rFonts w:ascii="Arial" w:eastAsiaTheme="minorEastAsia" w:hAnsi="Arial" w:cs="Arial"/>
                <w:noProof/>
                <w:sz w:val="20"/>
                <w:szCs w:val="20"/>
                <w:lang w:val="fr-BE" w:eastAsia="en-BE"/>
              </w:rPr>
              <w:t>77105321408-83</w:t>
            </w:r>
          </w:p>
        </w:tc>
        <w:tc>
          <w:tcPr>
            <w:tcW w:w="4508" w:type="dxa"/>
          </w:tcPr>
          <w:p w14:paraId="1EBA255C" w14:textId="7C11FC4D" w:rsidR="0096783A" w:rsidRDefault="0096783A" w:rsidP="00236EF8">
            <w:pPr>
              <w:ind w:left="284"/>
              <w:jc w:val="both"/>
              <w:rPr>
                <w:lang w:val="en-US"/>
              </w:rPr>
            </w:pPr>
          </w:p>
        </w:tc>
      </w:tr>
      <w:tr w:rsidR="0096783A" w:rsidRPr="00923E7F" w14:paraId="795D1A08" w14:textId="77777777" w:rsidTr="0096783A">
        <w:tc>
          <w:tcPr>
            <w:tcW w:w="4508" w:type="dxa"/>
          </w:tcPr>
          <w:p w14:paraId="0C0FF253" w14:textId="77777777" w:rsidR="0096783A" w:rsidRDefault="0096783A" w:rsidP="00236EF8">
            <w:pPr>
              <w:ind w:left="284"/>
              <w:jc w:val="both"/>
              <w:rPr>
                <w:lang w:val="en-US"/>
              </w:rPr>
            </w:pPr>
            <w:r>
              <w:rPr>
                <w:lang w:val="en-US"/>
              </w:rPr>
              <w:t>Date of signature of the Code</w:t>
            </w:r>
          </w:p>
        </w:tc>
        <w:tc>
          <w:tcPr>
            <w:tcW w:w="4508" w:type="dxa"/>
          </w:tcPr>
          <w:p w14:paraId="0BB57A32" w14:textId="751055A6" w:rsidR="0096783A" w:rsidRDefault="0096783A" w:rsidP="00236EF8">
            <w:pPr>
              <w:ind w:left="284"/>
              <w:jc w:val="both"/>
              <w:rPr>
                <w:lang w:val="en-US"/>
              </w:rPr>
            </w:pPr>
            <w:r>
              <w:rPr>
                <w:lang w:val="en-US"/>
              </w:rPr>
              <w:t>9 July 2021</w:t>
            </w:r>
          </w:p>
        </w:tc>
        <w:tc>
          <w:tcPr>
            <w:tcW w:w="4508" w:type="dxa"/>
          </w:tcPr>
          <w:p w14:paraId="5AD00503" w14:textId="49DBAE2B" w:rsidR="0096783A" w:rsidRDefault="0096783A" w:rsidP="00236EF8">
            <w:pPr>
              <w:ind w:left="284"/>
              <w:jc w:val="both"/>
              <w:rPr>
                <w:lang w:val="en-US"/>
              </w:rPr>
            </w:pPr>
          </w:p>
        </w:tc>
      </w:tr>
      <w:tr w:rsidR="0096783A" w:rsidRPr="00923E7F" w14:paraId="1C103673" w14:textId="77777777" w:rsidTr="0096783A">
        <w:tc>
          <w:tcPr>
            <w:tcW w:w="4508" w:type="dxa"/>
          </w:tcPr>
          <w:p w14:paraId="03BC8BDD" w14:textId="77777777" w:rsidR="0096783A" w:rsidRPr="00F6578E" w:rsidRDefault="0096783A" w:rsidP="00236EF8">
            <w:pPr>
              <w:ind w:left="284"/>
              <w:jc w:val="both"/>
              <w:rPr>
                <w:lang w:val="en-US"/>
              </w:rPr>
            </w:pPr>
            <w:r>
              <w:rPr>
                <w:lang w:val="en-US"/>
              </w:rPr>
              <w:t>Step of the food chain represented (ex: primary production, production, processing, trade, retail, …)</w:t>
            </w:r>
          </w:p>
        </w:tc>
        <w:tc>
          <w:tcPr>
            <w:tcW w:w="4508" w:type="dxa"/>
          </w:tcPr>
          <w:p w14:paraId="24473121" w14:textId="0EB2B9B8" w:rsidR="0096783A" w:rsidRDefault="0096783A" w:rsidP="00236EF8">
            <w:pPr>
              <w:ind w:left="284"/>
              <w:jc w:val="both"/>
              <w:rPr>
                <w:lang w:val="en-US"/>
              </w:rPr>
            </w:pPr>
            <w:r>
              <w:rPr>
                <w:lang w:val="en-US"/>
              </w:rPr>
              <w:t>Animal feed production for food producing animals</w:t>
            </w:r>
          </w:p>
        </w:tc>
        <w:tc>
          <w:tcPr>
            <w:tcW w:w="4508" w:type="dxa"/>
          </w:tcPr>
          <w:p w14:paraId="734E4093" w14:textId="4C1D8A15" w:rsidR="0096783A" w:rsidRDefault="0096783A" w:rsidP="00236EF8">
            <w:pPr>
              <w:ind w:left="284"/>
              <w:jc w:val="both"/>
              <w:rPr>
                <w:lang w:val="en-US"/>
              </w:rPr>
            </w:pPr>
          </w:p>
        </w:tc>
      </w:tr>
      <w:tr w:rsidR="0096783A" w:rsidRPr="00923E7F" w14:paraId="4C79CEFA" w14:textId="77777777" w:rsidTr="0096783A">
        <w:tc>
          <w:tcPr>
            <w:tcW w:w="4508" w:type="dxa"/>
          </w:tcPr>
          <w:p w14:paraId="350594BF" w14:textId="066DBC16" w:rsidR="0096783A" w:rsidRPr="00F6578E" w:rsidRDefault="0096783A" w:rsidP="00236EF8">
            <w:pPr>
              <w:ind w:left="284"/>
              <w:jc w:val="both"/>
              <w:rPr>
                <w:lang w:val="en-US"/>
              </w:rPr>
            </w:pPr>
            <w:r>
              <w:rPr>
                <w:lang w:val="en-US"/>
              </w:rPr>
              <w:t>Who do you represent? (e.g. number of members, companies, SMEs)</w:t>
            </w:r>
          </w:p>
        </w:tc>
        <w:tc>
          <w:tcPr>
            <w:tcW w:w="4508" w:type="dxa"/>
          </w:tcPr>
          <w:p w14:paraId="2D67DF3E" w14:textId="798B776C" w:rsidR="0096783A" w:rsidRDefault="0096783A" w:rsidP="00236EF8">
            <w:pPr>
              <w:ind w:left="284"/>
              <w:jc w:val="both"/>
              <w:rPr>
                <w:lang w:val="en-US"/>
              </w:rPr>
            </w:pPr>
            <w:r>
              <w:rPr>
                <w:lang w:val="en-GB"/>
              </w:rPr>
              <w:t xml:space="preserve">FEFAC </w:t>
            </w:r>
            <w:r w:rsidRPr="00FD2EF3">
              <w:rPr>
                <w:lang w:val="en-GB"/>
              </w:rPr>
              <w:t>represents 2</w:t>
            </w:r>
            <w:r>
              <w:rPr>
                <w:lang w:val="en-GB"/>
              </w:rPr>
              <w:t>2</w:t>
            </w:r>
            <w:r w:rsidRPr="00FD2EF3">
              <w:rPr>
                <w:lang w:val="en-GB"/>
              </w:rPr>
              <w:t xml:space="preserve"> national Associations in 2</w:t>
            </w:r>
            <w:r>
              <w:rPr>
                <w:lang w:val="en-GB"/>
              </w:rPr>
              <w:t>2</w:t>
            </w:r>
            <w:r w:rsidRPr="00FD2EF3">
              <w:rPr>
                <w:lang w:val="en-GB"/>
              </w:rPr>
              <w:t xml:space="preserve"> EU Member States as well as Associations in</w:t>
            </w:r>
            <w:r>
              <w:rPr>
                <w:lang w:val="en-GB"/>
              </w:rPr>
              <w:t xml:space="preserve"> the UK, </w:t>
            </w:r>
            <w:r w:rsidRPr="00FD2EF3">
              <w:rPr>
                <w:lang w:val="en-GB"/>
              </w:rPr>
              <w:t>Switzerland, Turkey, and Norway with associate member status. The European compound feed industry employs over 100,000 persons on app. 3,</w:t>
            </w:r>
            <w:r>
              <w:rPr>
                <w:lang w:val="en-GB"/>
              </w:rPr>
              <w:t>5</w:t>
            </w:r>
            <w:r w:rsidRPr="00FD2EF3">
              <w:rPr>
                <w:lang w:val="en-GB"/>
              </w:rPr>
              <w:t>00 production sites often in rural areas, which offer few employment opportunities.</w:t>
            </w:r>
          </w:p>
        </w:tc>
        <w:tc>
          <w:tcPr>
            <w:tcW w:w="4508" w:type="dxa"/>
          </w:tcPr>
          <w:p w14:paraId="32283B5B" w14:textId="5A348F3C" w:rsidR="0096783A" w:rsidRDefault="0096783A" w:rsidP="00236EF8">
            <w:pPr>
              <w:ind w:left="284"/>
              <w:jc w:val="both"/>
              <w:rPr>
                <w:lang w:val="en-US"/>
              </w:rPr>
            </w:pPr>
          </w:p>
        </w:tc>
      </w:tr>
    </w:tbl>
    <w:p w14:paraId="78061A25" w14:textId="3AD546F9" w:rsidR="00402405" w:rsidRPr="0041540C" w:rsidRDefault="001E291C" w:rsidP="00236EF8">
      <w:pPr>
        <w:ind w:left="284"/>
        <w:jc w:val="both"/>
        <w:rPr>
          <w:lang w:val="en-US"/>
        </w:rPr>
      </w:pPr>
      <w:r>
        <w:rPr>
          <w:lang w:val="en-US"/>
        </w:rPr>
        <w:t xml:space="preserve">* </w:t>
      </w:r>
      <w:proofErr w:type="gramStart"/>
      <w:r>
        <w:rPr>
          <w:lang w:val="en-US"/>
        </w:rPr>
        <w:t>if</w:t>
      </w:r>
      <w:proofErr w:type="gramEnd"/>
      <w:r>
        <w:rPr>
          <w:lang w:val="en-US"/>
        </w:rPr>
        <w:t xml:space="preserve"> available</w:t>
      </w:r>
    </w:p>
    <w:p w14:paraId="1D25E8AB" w14:textId="77777777" w:rsidR="00E83E12" w:rsidRDefault="00E83E12" w:rsidP="00236EF8">
      <w:pPr>
        <w:pStyle w:val="Default"/>
        <w:ind w:left="284"/>
      </w:pPr>
    </w:p>
    <w:p w14:paraId="714BC556" w14:textId="77777777" w:rsidR="00F34327" w:rsidRDefault="00E83E12" w:rsidP="00236EF8">
      <w:pPr>
        <w:pStyle w:val="Default"/>
        <w:spacing w:after="164"/>
        <w:ind w:left="284"/>
        <w:rPr>
          <w:sz w:val="22"/>
          <w:szCs w:val="22"/>
        </w:rPr>
      </w:pPr>
      <w:r>
        <w:rPr>
          <w:b/>
          <w:bCs/>
          <w:sz w:val="22"/>
          <w:szCs w:val="22"/>
        </w:rPr>
        <w:t xml:space="preserve">European Associations </w:t>
      </w:r>
      <w:r>
        <w:rPr>
          <w:sz w:val="22"/>
          <w:szCs w:val="22"/>
        </w:rPr>
        <w:t>pledge to</w:t>
      </w:r>
      <w:r>
        <w:rPr>
          <w:b/>
          <w:bCs/>
          <w:sz w:val="22"/>
          <w:szCs w:val="22"/>
        </w:rPr>
        <w:t xml:space="preserve">: </w:t>
      </w:r>
    </w:p>
    <w:p w14:paraId="56D8C549" w14:textId="77777777" w:rsidR="00F34327" w:rsidRPr="00F34327" w:rsidRDefault="00E83E12" w:rsidP="00236EF8">
      <w:pPr>
        <w:pStyle w:val="Default"/>
        <w:numPr>
          <w:ilvl w:val="0"/>
          <w:numId w:val="18"/>
        </w:numPr>
        <w:ind w:left="284"/>
        <w:rPr>
          <w:lang w:val="en-US"/>
        </w:rPr>
      </w:pPr>
      <w:r w:rsidRPr="00F34327">
        <w:rPr>
          <w:i/>
          <w:iCs/>
          <w:lang w:val="en-US"/>
        </w:rPr>
        <w:t xml:space="preserve">endorse the aspirational objectives set out in this Code (where </w:t>
      </w:r>
      <w:r w:rsidR="005C4C4E" w:rsidRPr="00F34327">
        <w:rPr>
          <w:i/>
          <w:iCs/>
          <w:lang w:val="en-US"/>
        </w:rPr>
        <w:t xml:space="preserve">applicable) </w:t>
      </w:r>
    </w:p>
    <w:p w14:paraId="12EF2062" w14:textId="77777777" w:rsidR="00F34327" w:rsidRDefault="00F34327" w:rsidP="00236EF8">
      <w:pPr>
        <w:pStyle w:val="Default"/>
        <w:ind w:left="284"/>
        <w:rPr>
          <w:i/>
          <w:iCs/>
          <w:lang w:val="en-US"/>
        </w:rPr>
      </w:pPr>
    </w:p>
    <w:p w14:paraId="1F0592E9" w14:textId="7671512F" w:rsidR="00E83E12" w:rsidRPr="00DD5464" w:rsidRDefault="007F6E04" w:rsidP="00236EF8">
      <w:pPr>
        <w:pStyle w:val="Default"/>
        <w:numPr>
          <w:ilvl w:val="0"/>
          <w:numId w:val="32"/>
        </w:numPr>
        <w:ind w:left="284"/>
        <w:rPr>
          <w:lang w:val="en-US"/>
        </w:rPr>
      </w:pPr>
      <w:r w:rsidRPr="00DD5464">
        <w:rPr>
          <w:lang w:val="en-US"/>
        </w:rPr>
        <w:t>YES</w:t>
      </w:r>
      <w:r w:rsidR="00E83E12" w:rsidRPr="00DD5464">
        <w:rPr>
          <w:sz w:val="22"/>
          <w:szCs w:val="22"/>
          <w:lang w:val="en-US"/>
        </w:rPr>
        <w:t xml:space="preserve"> </w:t>
      </w:r>
    </w:p>
    <w:p w14:paraId="33E1C8F1" w14:textId="77777777" w:rsidR="007F6E04" w:rsidRPr="004B752C" w:rsidRDefault="007F6E04" w:rsidP="00236EF8">
      <w:pPr>
        <w:pStyle w:val="Default"/>
        <w:ind w:left="284"/>
        <w:rPr>
          <w:sz w:val="22"/>
          <w:szCs w:val="22"/>
          <w:lang w:val="en-US"/>
        </w:rPr>
      </w:pPr>
    </w:p>
    <w:p w14:paraId="77E68649" w14:textId="77777777" w:rsidR="00E83E12" w:rsidRPr="000960D2" w:rsidRDefault="00E83E12" w:rsidP="00236EF8">
      <w:pPr>
        <w:pStyle w:val="Default"/>
        <w:numPr>
          <w:ilvl w:val="0"/>
          <w:numId w:val="18"/>
        </w:numPr>
        <w:ind w:left="284"/>
        <w:rPr>
          <w:lang w:val="en-US"/>
        </w:rPr>
      </w:pPr>
      <w:r w:rsidRPr="000960D2">
        <w:rPr>
          <w:i/>
          <w:iCs/>
          <w:lang w:val="en-US"/>
        </w:rPr>
        <w:t>promote and disseminate this Code with(in) their constituency/</w:t>
      </w:r>
      <w:proofErr w:type="spellStart"/>
      <w:r w:rsidRPr="000960D2">
        <w:rPr>
          <w:i/>
          <w:iCs/>
          <w:lang w:val="en-US"/>
        </w:rPr>
        <w:t>ies</w:t>
      </w:r>
      <w:proofErr w:type="spellEnd"/>
      <w:r w:rsidRPr="000960D2">
        <w:rPr>
          <w:i/>
          <w:iCs/>
          <w:lang w:val="en-US"/>
        </w:rPr>
        <w:t xml:space="preserve">; </w:t>
      </w:r>
    </w:p>
    <w:p w14:paraId="61BA9C53" w14:textId="77777777" w:rsidR="007F6E04" w:rsidRPr="004B752C" w:rsidRDefault="007F6E04" w:rsidP="00236EF8">
      <w:pPr>
        <w:pStyle w:val="Default"/>
        <w:ind w:left="284"/>
        <w:rPr>
          <w:i/>
          <w:iCs/>
          <w:sz w:val="22"/>
          <w:szCs w:val="22"/>
          <w:lang w:val="en-US"/>
        </w:rPr>
      </w:pPr>
    </w:p>
    <w:p w14:paraId="74BBBB1D" w14:textId="77777777" w:rsidR="0096783A" w:rsidRDefault="0096783A" w:rsidP="00236EF8">
      <w:pPr>
        <w:pStyle w:val="Default"/>
        <w:ind w:left="284"/>
        <w:rPr>
          <w:lang w:val="en-US"/>
        </w:rPr>
      </w:pPr>
    </w:p>
    <w:p w14:paraId="0F559D5E" w14:textId="76F1AEBB" w:rsidR="0096783A" w:rsidRDefault="0096783A" w:rsidP="00236EF8">
      <w:pPr>
        <w:pStyle w:val="Default"/>
        <w:ind w:left="284"/>
      </w:pPr>
      <w:r w:rsidRPr="0096783A">
        <w:rPr>
          <w:lang w:val="en-US"/>
        </w:rPr>
        <w:t xml:space="preserve">On 13 September 2024, FEFAC published its 4th Feed Sustainability Progress Report, providing an overview of the </w:t>
      </w:r>
      <w:r>
        <w:rPr>
          <w:lang w:val="en-US"/>
        </w:rPr>
        <w:t>preceding</w:t>
      </w:r>
      <w:r w:rsidRPr="0096783A">
        <w:rPr>
          <w:lang w:val="en-US"/>
        </w:rPr>
        <w:t xml:space="preserve"> year’s FEFAC activities and deliverables in relation to the five ambitions that were included in the FEFAC Feed Sustainability Charter 2030, released in September 2020.</w:t>
      </w:r>
      <w:r>
        <w:rPr>
          <w:lang w:val="en-US"/>
        </w:rPr>
        <w:t xml:space="preserve"> T</w:t>
      </w:r>
      <w:r w:rsidRPr="0096783A">
        <w:t>hese five ambitions jointly provide a comprehensive approach on how the European Feed Industry can contribute to the development of more sustainable livestock and aquaculture value chains.</w:t>
      </w:r>
      <w:r>
        <w:t xml:space="preserve"> </w:t>
      </w:r>
      <w:r w:rsidRPr="0096783A">
        <w:t>In the 4</w:t>
      </w:r>
      <w:r w:rsidRPr="0096783A">
        <w:rPr>
          <w:vertAlign w:val="superscript"/>
        </w:rPr>
        <w:t>th</w:t>
      </w:r>
      <w:r w:rsidRPr="0096783A">
        <w:t> Progress Report, FEFAC also looks forward and included new commitments pertaining to each of the five ambitions for the years towards 2030. FEFAC considers that the initial commitments it included in the original Feed Sustainability Charter 2030 publication have been successfully delivered on and were subject to an update. </w:t>
      </w:r>
      <w:r>
        <w:t xml:space="preserve">In the press release, FEFAC made reference to the </w:t>
      </w:r>
      <w:r w:rsidRPr="0096783A">
        <w:t>EU Code of Conduct for Responsible Business &amp; Marketing Practices.</w:t>
      </w:r>
    </w:p>
    <w:p w14:paraId="0E0A409E" w14:textId="77777777" w:rsidR="00CD60A8" w:rsidRPr="004B752C" w:rsidRDefault="00CD60A8" w:rsidP="00236EF8">
      <w:pPr>
        <w:pStyle w:val="Default"/>
        <w:ind w:left="284"/>
        <w:rPr>
          <w:i/>
          <w:iCs/>
          <w:sz w:val="22"/>
          <w:szCs w:val="22"/>
          <w:lang w:val="en-US"/>
        </w:rPr>
      </w:pPr>
    </w:p>
    <w:p w14:paraId="3A5DB721" w14:textId="77777777" w:rsidR="00E83E12" w:rsidRPr="004B752C" w:rsidRDefault="00E83E12" w:rsidP="00236EF8">
      <w:pPr>
        <w:pStyle w:val="Default"/>
        <w:numPr>
          <w:ilvl w:val="0"/>
          <w:numId w:val="18"/>
        </w:numPr>
        <w:ind w:left="284"/>
        <w:rPr>
          <w:i/>
          <w:iCs/>
          <w:sz w:val="22"/>
          <w:szCs w:val="22"/>
          <w:lang w:val="en-US"/>
        </w:rPr>
      </w:pPr>
      <w:r w:rsidRPr="004B752C">
        <w:rPr>
          <w:i/>
          <w:iCs/>
          <w:lang w:val="en-US"/>
        </w:rPr>
        <w:t xml:space="preserve">encourage their members to align their sustainability actions and/or business practices to the aspirational objectives and targets of the Code and invite them, on a voluntary basis, to adhere to this Code, as appropriate; </w:t>
      </w:r>
    </w:p>
    <w:p w14:paraId="38473CA3" w14:textId="77777777" w:rsidR="005F6E49" w:rsidRPr="004B752C" w:rsidRDefault="005F6E49" w:rsidP="00236EF8">
      <w:pPr>
        <w:pStyle w:val="Default"/>
        <w:ind w:left="284"/>
        <w:rPr>
          <w:i/>
          <w:iCs/>
          <w:sz w:val="22"/>
          <w:szCs w:val="22"/>
          <w:lang w:val="en-US"/>
        </w:rPr>
      </w:pPr>
    </w:p>
    <w:p w14:paraId="34425EC3" w14:textId="77777777" w:rsidR="0096783A" w:rsidRPr="009616AF" w:rsidRDefault="0096783A" w:rsidP="00236EF8">
      <w:pPr>
        <w:pStyle w:val="Default"/>
        <w:ind w:left="284"/>
        <w:rPr>
          <w:sz w:val="22"/>
          <w:szCs w:val="22"/>
          <w:lang w:val="en-US"/>
        </w:rPr>
      </w:pPr>
      <w:r w:rsidRPr="009616AF">
        <w:rPr>
          <w:sz w:val="22"/>
          <w:szCs w:val="22"/>
          <w:lang w:val="en-US"/>
        </w:rPr>
        <w:t>FEFAC seeks to highlight the direct connection between the two initiatives for its membership, who are also invited to co-sign</w:t>
      </w:r>
      <w:r>
        <w:rPr>
          <w:sz w:val="22"/>
          <w:szCs w:val="22"/>
          <w:lang w:val="en-US"/>
        </w:rPr>
        <w:t xml:space="preserve"> the EU Code of Conduct</w:t>
      </w:r>
      <w:r w:rsidRPr="009616AF">
        <w:rPr>
          <w:sz w:val="22"/>
          <w:szCs w:val="22"/>
          <w:lang w:val="en-US"/>
        </w:rPr>
        <w:t>. FEFAC is aware that key leading EU compound feed manufacturers have adopted comprehensive sustainability targets at company,</w:t>
      </w:r>
      <w:r>
        <w:rPr>
          <w:sz w:val="22"/>
          <w:szCs w:val="22"/>
          <w:lang w:val="en-US"/>
        </w:rPr>
        <w:t xml:space="preserve"> level </w:t>
      </w:r>
      <w:r w:rsidRPr="009616AF">
        <w:rPr>
          <w:sz w:val="22"/>
          <w:szCs w:val="22"/>
          <w:lang w:val="en-US"/>
        </w:rPr>
        <w:t>however there still seem to be barriers to co-signing the Code, mainly due to its B2C orientation. FEFAC would therefore recommend to draw more attention on the importance of B2B commitments within the Code’s framework, as many of the “low hanging fruits” which are required to assist with the transition towards more sustainable food systems can be “reaped” at the “pre-farm” gate level</w:t>
      </w:r>
      <w:r>
        <w:rPr>
          <w:sz w:val="22"/>
          <w:szCs w:val="22"/>
          <w:lang w:val="en-US"/>
        </w:rPr>
        <w:t>.</w:t>
      </w:r>
    </w:p>
    <w:p w14:paraId="6D731DF1" w14:textId="77777777" w:rsidR="005F6E49" w:rsidRPr="0096783A" w:rsidRDefault="005F6E49" w:rsidP="00236EF8">
      <w:pPr>
        <w:pStyle w:val="Default"/>
        <w:ind w:left="284"/>
        <w:rPr>
          <w:i/>
          <w:iCs/>
          <w:sz w:val="22"/>
          <w:szCs w:val="22"/>
          <w:lang w:val="en-US"/>
        </w:rPr>
      </w:pPr>
    </w:p>
    <w:p w14:paraId="23133E1B" w14:textId="77777777" w:rsidR="0096783A" w:rsidRDefault="0096783A" w:rsidP="00236EF8">
      <w:pPr>
        <w:pStyle w:val="Default"/>
        <w:ind w:left="284"/>
        <w:rPr>
          <w:i/>
          <w:iCs/>
          <w:sz w:val="22"/>
          <w:szCs w:val="22"/>
        </w:rPr>
      </w:pPr>
    </w:p>
    <w:p w14:paraId="74508B40" w14:textId="77777777" w:rsidR="00E83E12" w:rsidRPr="004B752C" w:rsidRDefault="00E83E12" w:rsidP="00236EF8">
      <w:pPr>
        <w:pStyle w:val="Default"/>
        <w:numPr>
          <w:ilvl w:val="0"/>
          <w:numId w:val="18"/>
        </w:numPr>
        <w:ind w:left="284"/>
        <w:rPr>
          <w:i/>
          <w:iCs/>
          <w:sz w:val="22"/>
          <w:szCs w:val="22"/>
          <w:lang w:val="en-US"/>
        </w:rPr>
      </w:pPr>
      <w:r w:rsidRPr="004B752C">
        <w:rPr>
          <w:i/>
          <w:iCs/>
          <w:lang w:val="en-US"/>
        </w:rPr>
        <w:t xml:space="preserve">explore the possibility of developing sector-specific tools and resources in support of this Code; </w:t>
      </w:r>
    </w:p>
    <w:p w14:paraId="50FB1B3F" w14:textId="77777777" w:rsidR="007215CB" w:rsidRPr="004B752C" w:rsidRDefault="007215CB" w:rsidP="00236EF8">
      <w:pPr>
        <w:pStyle w:val="Default"/>
        <w:ind w:left="284"/>
        <w:rPr>
          <w:lang w:val="en-US"/>
        </w:rPr>
      </w:pPr>
    </w:p>
    <w:p w14:paraId="16BAFD08" w14:textId="59BCB9C5" w:rsidR="00236EF8" w:rsidRPr="00236EF8" w:rsidRDefault="00236EF8" w:rsidP="00236EF8">
      <w:pPr>
        <w:pStyle w:val="Default"/>
        <w:ind w:left="284"/>
        <w:rPr>
          <w:u w:val="single"/>
          <w:lang w:val="en-US"/>
        </w:rPr>
      </w:pPr>
      <w:r w:rsidRPr="00236EF8">
        <w:rPr>
          <w:u w:val="single"/>
          <w:lang w:val="en-US"/>
        </w:rPr>
        <w:t>Aspirational objective 3: A climate neutral food chain in Europe by 2050</w:t>
      </w:r>
    </w:p>
    <w:p w14:paraId="3E40DF21" w14:textId="77777777" w:rsidR="00236EF8" w:rsidRDefault="00236EF8" w:rsidP="00236EF8">
      <w:pPr>
        <w:pStyle w:val="Default"/>
        <w:ind w:left="284"/>
        <w:rPr>
          <w:lang w:val="en-US"/>
        </w:rPr>
      </w:pPr>
    </w:p>
    <w:p w14:paraId="319D77C9" w14:textId="77777777" w:rsidR="00236EF8" w:rsidRDefault="00236EF8" w:rsidP="00236EF8">
      <w:pPr>
        <w:pStyle w:val="Default"/>
        <w:ind w:left="284"/>
        <w:rPr>
          <w:lang w:val="en-US"/>
        </w:rPr>
      </w:pPr>
      <w:r>
        <w:rPr>
          <w:lang w:val="en-US"/>
        </w:rPr>
        <w:t xml:space="preserve">For several years already FEFAC is involved in harmonizing environmental </w:t>
      </w:r>
      <w:proofErr w:type="spellStart"/>
      <w:r>
        <w:rPr>
          <w:lang w:val="en-US"/>
        </w:rPr>
        <w:t>footprinting</w:t>
      </w:r>
      <w:proofErr w:type="spellEnd"/>
      <w:r>
        <w:rPr>
          <w:lang w:val="en-US"/>
        </w:rPr>
        <w:t xml:space="preserve"> metrics including Feed LCA database projects. The </w:t>
      </w:r>
      <w:hyperlink r:id="rId8" w:history="1">
        <w:r w:rsidRPr="00DD2F97">
          <w:rPr>
            <w:rStyle w:val="Hyperlink"/>
            <w:lang w:val="en-US"/>
          </w:rPr>
          <w:t>PEFCR Feed for Food-Producing Animals</w:t>
        </w:r>
      </w:hyperlink>
      <w:r>
        <w:rPr>
          <w:lang w:val="en-US"/>
        </w:rPr>
        <w:t xml:space="preserve"> and the </w:t>
      </w:r>
      <w:hyperlink r:id="rId9" w:history="1">
        <w:r w:rsidRPr="00DD2F97">
          <w:rPr>
            <w:rStyle w:val="Hyperlink"/>
            <w:lang w:val="en-US"/>
          </w:rPr>
          <w:t>GFLI Database</w:t>
        </w:r>
      </w:hyperlink>
      <w:r>
        <w:rPr>
          <w:lang w:val="en-US"/>
        </w:rPr>
        <w:t xml:space="preserve"> are two sector-specific tools that provide industry needs for harmonized methodology and data use. In February 2025 the update of the PEFCR Feed was completed, thereby reinstating its validity. In May 2025 also the PEFCR Marine Fish was released, where FEFAC was part of the Technical Secretariat. The GFLI Database has further developed and expanded at global level now containing more than 1800 feed LCA datapoints for all major feed ingredients trade at EU and global level. Its membership has increased significantly in the past year, setting the scene for increasing the creation of additional high-quality Feed LCA datasets. </w:t>
      </w:r>
    </w:p>
    <w:p w14:paraId="0FAF414C" w14:textId="0D6EAD59" w:rsidR="00236EF8" w:rsidRDefault="00236EF8" w:rsidP="00236EF8">
      <w:pPr>
        <w:pStyle w:val="Default"/>
        <w:ind w:left="284"/>
        <w:rPr>
          <w:lang w:val="en-US"/>
        </w:rPr>
      </w:pPr>
    </w:p>
    <w:p w14:paraId="4539E66F" w14:textId="0A1DA36D" w:rsidR="00236EF8" w:rsidRDefault="00236EF8" w:rsidP="00236EF8">
      <w:pPr>
        <w:pStyle w:val="Default"/>
        <w:ind w:left="284"/>
        <w:rPr>
          <w:lang w:val="en-US"/>
        </w:rPr>
      </w:pPr>
      <w:r w:rsidRPr="00236EF8">
        <w:rPr>
          <w:lang w:val="en-US"/>
        </w:rPr>
        <w:t xml:space="preserve">Following a comprehensive 12-month assessment, the European Commission’s </w:t>
      </w:r>
      <w:proofErr w:type="spellStart"/>
      <w:r w:rsidRPr="00236EF8">
        <w:rPr>
          <w:lang w:val="en-US"/>
        </w:rPr>
        <w:t>SCoPAFF</w:t>
      </w:r>
      <w:proofErr w:type="spellEnd"/>
      <w:r w:rsidRPr="00236EF8">
        <w:rPr>
          <w:lang w:val="en-US"/>
        </w:rPr>
        <w:t xml:space="preserve"> on Animal Nutrition officially endorsed the </w:t>
      </w:r>
      <w:hyperlink r:id="rId10" w:history="1">
        <w:r w:rsidRPr="00236EF8">
          <w:rPr>
            <w:rStyle w:val="Hyperlink"/>
            <w:lang w:val="en-US"/>
          </w:rPr>
          <w:t>upgraded Copa-</w:t>
        </w:r>
        <w:proofErr w:type="spellStart"/>
        <w:r w:rsidRPr="00236EF8">
          <w:rPr>
            <w:rStyle w:val="Hyperlink"/>
            <w:lang w:val="en-US"/>
          </w:rPr>
          <w:t>Cogeca</w:t>
        </w:r>
        <w:proofErr w:type="spellEnd"/>
        <w:r w:rsidRPr="00236EF8">
          <w:rPr>
            <w:rStyle w:val="Hyperlink"/>
            <w:lang w:val="en-US"/>
          </w:rPr>
          <w:t xml:space="preserve"> &amp; FEFAC Code of Good Labelling Practices for compound feed</w:t>
        </w:r>
      </w:hyperlink>
      <w:r w:rsidRPr="00236EF8">
        <w:rPr>
          <w:lang w:val="en-US"/>
        </w:rPr>
        <w:t>. The endorsement at the meeting of 2-3 December marks a significant step forward in the promotion of sustainable feed production and reduction of livestock production’s emissions.</w:t>
      </w:r>
      <w:r>
        <w:rPr>
          <w:lang w:val="en-US"/>
        </w:rPr>
        <w:t xml:space="preserve"> </w:t>
      </w:r>
      <w:r w:rsidRPr="00236EF8">
        <w:rPr>
          <w:lang w:val="en-US"/>
        </w:rPr>
        <w:t xml:space="preserve">Inspired by the proposal for the Green Claims Directive, the updated code includes detailed guidelines for communicating the environmental performance of animal feed to farmers, addressing key impact areas such as climate change, eutrophication, and livestock emissions abatement techniques. The enhanced Code, which integrates the PEFCR Feed for Food-Producing Animals methodology and the Global Feed LCA Institute database, offers a </w:t>
      </w:r>
      <w:proofErr w:type="spellStart"/>
      <w:r w:rsidRPr="00236EF8">
        <w:rPr>
          <w:lang w:val="en-US"/>
        </w:rPr>
        <w:t>harmonised</w:t>
      </w:r>
      <w:proofErr w:type="spellEnd"/>
      <w:r w:rsidRPr="00236EF8">
        <w:rPr>
          <w:lang w:val="en-US"/>
        </w:rPr>
        <w:t xml:space="preserve"> approach to labelling that supports the feed sector’s efforts to reduce its environmental footprint.</w:t>
      </w:r>
      <w:r>
        <w:rPr>
          <w:lang w:val="en-US"/>
        </w:rPr>
        <w:t xml:space="preserve"> </w:t>
      </w:r>
      <w:r w:rsidRPr="00236EF8">
        <w:rPr>
          <w:lang w:val="en-US"/>
        </w:rPr>
        <w:t>Developed with the support of FEFANA, the Code also provides clear recommendations for substantiating environmental claims for compound feed, especially in relation to livestock emissions abatement techniques. More specifically, it ensures that feed producers can transparently report on the environmental impact of their products, enhancing the feed sector’s transparency towards both livestock farmers and consumers. By including information on 16 environmental impact categories, including water use and biodiversity, it addresses the need for accurate reporting to meet Scope 3 greenhouse gas emissions requirements.</w:t>
      </w:r>
      <w:r>
        <w:rPr>
          <w:lang w:val="en-US"/>
        </w:rPr>
        <w:t xml:space="preserve"> </w:t>
      </w:r>
      <w:r w:rsidRPr="00236EF8">
        <w:rPr>
          <w:lang w:val="en-US"/>
        </w:rPr>
        <w:t xml:space="preserve">The endorsement of the upgraded Code represents a major milestone in the path toward sustainable feed and livestock production. Thanks to this </w:t>
      </w:r>
      <w:proofErr w:type="spellStart"/>
      <w:r w:rsidRPr="00236EF8">
        <w:rPr>
          <w:lang w:val="en-US"/>
        </w:rPr>
        <w:t>harmonised</w:t>
      </w:r>
      <w:proofErr w:type="spellEnd"/>
      <w:r w:rsidRPr="00236EF8">
        <w:rPr>
          <w:lang w:val="en-US"/>
        </w:rPr>
        <w:t xml:space="preserve"> framework, the feed sector is now better positioned to contribute to reducing the emissions of feed and livestock production.</w:t>
      </w:r>
    </w:p>
    <w:p w14:paraId="07B9E757" w14:textId="77777777" w:rsidR="00236EF8" w:rsidRDefault="00236EF8" w:rsidP="00236EF8">
      <w:pPr>
        <w:pStyle w:val="Default"/>
        <w:ind w:left="284"/>
        <w:rPr>
          <w:lang w:val="en-US"/>
        </w:rPr>
      </w:pPr>
    </w:p>
    <w:p w14:paraId="1277AFAC" w14:textId="56A46013" w:rsidR="00236EF8" w:rsidRPr="00B26583" w:rsidRDefault="00236EF8" w:rsidP="00236EF8">
      <w:pPr>
        <w:pStyle w:val="Default"/>
        <w:ind w:left="284"/>
        <w:rPr>
          <w:u w:val="single"/>
          <w:lang w:val="en-US"/>
        </w:rPr>
      </w:pPr>
      <w:r w:rsidRPr="00B26583">
        <w:rPr>
          <w:u w:val="single"/>
          <w:lang w:val="en-US"/>
        </w:rPr>
        <w:t xml:space="preserve">Aspirational objective 4: An </w:t>
      </w:r>
      <w:proofErr w:type="spellStart"/>
      <w:r w:rsidRPr="00B26583">
        <w:rPr>
          <w:u w:val="single"/>
          <w:lang w:val="en-US"/>
        </w:rPr>
        <w:t>optimised</w:t>
      </w:r>
      <w:proofErr w:type="spellEnd"/>
      <w:r w:rsidRPr="00B26583">
        <w:rPr>
          <w:u w:val="single"/>
          <w:lang w:val="en-US"/>
        </w:rPr>
        <w:t xml:space="preserve"> circular and resource-efficient food chain in Europe</w:t>
      </w:r>
    </w:p>
    <w:p w14:paraId="2BA00957" w14:textId="49C75CA7" w:rsidR="00236EF8" w:rsidRDefault="00236EF8" w:rsidP="00236EF8">
      <w:pPr>
        <w:pStyle w:val="Default"/>
        <w:ind w:left="284"/>
        <w:rPr>
          <w:lang w:val="en-US"/>
        </w:rPr>
      </w:pPr>
    </w:p>
    <w:p w14:paraId="5A673128" w14:textId="6089CE21" w:rsidR="00236EF8" w:rsidRPr="00236EF8" w:rsidRDefault="00B26583" w:rsidP="00B26583">
      <w:pPr>
        <w:pStyle w:val="Default"/>
        <w:ind w:left="284"/>
        <w:rPr>
          <w:lang w:val="en-US"/>
        </w:rPr>
      </w:pPr>
      <w:bookmarkStart w:id="0" w:name="_Hlk203749405"/>
      <w:r>
        <w:rPr>
          <w:lang w:val="en-US"/>
        </w:rPr>
        <w:t xml:space="preserve">For over a year FEFAC coordinated a Circular Feed Platform, which included also the </w:t>
      </w:r>
      <w:proofErr w:type="spellStart"/>
      <w:r>
        <w:rPr>
          <w:lang w:val="en-US"/>
        </w:rPr>
        <w:t>organisations</w:t>
      </w:r>
      <w:proofErr w:type="spellEnd"/>
      <w:r>
        <w:rPr>
          <w:lang w:val="en-US"/>
        </w:rPr>
        <w:t xml:space="preserve"> CEFIC, EFFOB, EFFPA, EFPRA, ESPP, FEDIAF and IPIFF. The collaboration culminated in the publication of a </w:t>
      </w:r>
      <w:hyperlink r:id="rId11" w:history="1">
        <w:r w:rsidRPr="00B26583">
          <w:rPr>
            <w:rStyle w:val="Hyperlink"/>
            <w:lang w:val="en-US"/>
          </w:rPr>
          <w:t>Catalogue of Measures</w:t>
        </w:r>
      </w:hyperlink>
      <w:r>
        <w:rPr>
          <w:lang w:val="en-US"/>
        </w:rPr>
        <w:t xml:space="preserve"> in </w:t>
      </w:r>
      <w:r w:rsidR="00236EF8">
        <w:rPr>
          <w:lang w:val="en-US"/>
        </w:rPr>
        <w:t xml:space="preserve">May 2025 </w:t>
      </w:r>
      <w:r w:rsidRPr="00236EF8">
        <w:rPr>
          <w:lang w:val="en-BE"/>
        </w:rPr>
        <w:t xml:space="preserve">aimed at creating a supportive legislative environment that stimulates and increases feed circularity without compromising safety. </w:t>
      </w:r>
      <w:r>
        <w:rPr>
          <w:lang w:val="en-BE"/>
        </w:rPr>
        <w:t xml:space="preserve">The </w:t>
      </w:r>
      <w:r w:rsidRPr="00236EF8">
        <w:rPr>
          <w:lang w:val="en-BE"/>
        </w:rPr>
        <w:t>catalogue</w:t>
      </w:r>
      <w:r>
        <w:rPr>
          <w:lang w:val="en-BE"/>
        </w:rPr>
        <w:t xml:space="preserve"> contains </w:t>
      </w:r>
      <w:r w:rsidRPr="00236EF8">
        <w:rPr>
          <w:lang w:val="en-BE"/>
        </w:rPr>
        <w:t>a non-exhaustive list of examples of regulatory restrictions faced by the feed chain to access certain materials and which deserve, in our view, a re-examination of their justification.</w:t>
      </w:r>
      <w:r w:rsidR="00B846E5">
        <w:rPr>
          <w:lang w:val="en-BE"/>
        </w:rPr>
        <w:t xml:space="preserve"> </w:t>
      </w:r>
      <w:r w:rsidR="00236EF8" w:rsidRPr="00236EF8">
        <w:rPr>
          <w:lang w:val="en-BE"/>
        </w:rPr>
        <w:t>This catalogue of measures has the potential to increase the use of different secondary nutrient streams in animal feed. These measures would reduce competition for land use with food production, reduce imports of feed materials and reduce livestock system net greenhouse gas emissions, whilst maintaining safety, traceability and farmer and consumer confidence.</w:t>
      </w:r>
    </w:p>
    <w:p w14:paraId="43D5BA5A" w14:textId="77777777" w:rsidR="00236EF8" w:rsidRPr="00236EF8" w:rsidRDefault="00236EF8" w:rsidP="00236EF8">
      <w:pPr>
        <w:pStyle w:val="Default"/>
        <w:ind w:left="284"/>
        <w:rPr>
          <w:lang w:val="en-BE"/>
        </w:rPr>
      </w:pPr>
      <w:r w:rsidRPr="00236EF8">
        <w:rPr>
          <w:lang w:val="en-BE"/>
        </w:rPr>
        <w:t>This would support an effective Nutrient Circular Economy, so contributing to food sovereignty, competitiveness and farm system resilience.</w:t>
      </w:r>
    </w:p>
    <w:bookmarkEnd w:id="0"/>
    <w:p w14:paraId="3F1944A2" w14:textId="77777777" w:rsidR="00236EF8" w:rsidRPr="00236EF8" w:rsidRDefault="00236EF8" w:rsidP="00236EF8">
      <w:pPr>
        <w:pStyle w:val="Default"/>
        <w:ind w:left="284"/>
        <w:rPr>
          <w:lang w:val="en-BE"/>
        </w:rPr>
      </w:pPr>
    </w:p>
    <w:p w14:paraId="65A0DBD5" w14:textId="77777777" w:rsidR="00236EF8" w:rsidRDefault="00236EF8" w:rsidP="00236EF8">
      <w:pPr>
        <w:pStyle w:val="Default"/>
        <w:ind w:left="284"/>
        <w:rPr>
          <w:lang w:val="en-US"/>
        </w:rPr>
      </w:pPr>
    </w:p>
    <w:p w14:paraId="737B50B1" w14:textId="1DF5A5CA" w:rsidR="00DD5464" w:rsidRPr="00DD5464" w:rsidRDefault="00DD5464" w:rsidP="00236EF8">
      <w:pPr>
        <w:pStyle w:val="Default"/>
        <w:ind w:left="284"/>
        <w:rPr>
          <w:u w:val="single"/>
          <w:lang w:val="en-US"/>
        </w:rPr>
      </w:pPr>
      <w:r w:rsidRPr="00DD5464">
        <w:rPr>
          <w:u w:val="single"/>
          <w:lang w:val="en-US"/>
        </w:rPr>
        <w:t>Aspirational target 7: Sustainable sourcing in food supply chains</w:t>
      </w:r>
    </w:p>
    <w:p w14:paraId="031F81F0" w14:textId="77777777" w:rsidR="00DD5464" w:rsidRDefault="00DD5464" w:rsidP="00236EF8">
      <w:pPr>
        <w:pStyle w:val="Default"/>
        <w:ind w:left="284"/>
        <w:rPr>
          <w:lang w:val="en-US"/>
        </w:rPr>
      </w:pPr>
    </w:p>
    <w:p w14:paraId="38FA4A60" w14:textId="4128E43A" w:rsidR="00DD5464" w:rsidRDefault="00DD5464" w:rsidP="00236EF8">
      <w:pPr>
        <w:pStyle w:val="Default"/>
        <w:ind w:left="284"/>
        <w:rPr>
          <w:lang w:val="en-US"/>
        </w:rPr>
      </w:pPr>
      <w:r>
        <w:t xml:space="preserve">In </w:t>
      </w:r>
      <w:r w:rsidRPr="00DD5464">
        <w:t>July 2025, the new </w:t>
      </w:r>
      <w:hyperlink r:id="rId12" w:history="1">
        <w:r w:rsidRPr="00DD5464">
          <w:rPr>
            <w:rStyle w:val="Hyperlink"/>
          </w:rPr>
          <w:t>European Soy Monitor</w:t>
        </w:r>
      </w:hyperlink>
      <w:r w:rsidRPr="00DD5464">
        <w:t xml:space="preserve"> was released, covering data of the years 2022 and 2023. It shows that 54% of soya purchases in the EU27+ are in line with responsible soy schemes and programmes that have been benchmarked against the </w:t>
      </w:r>
      <w:r w:rsidRPr="00DD5464">
        <w:lastRenderedPageBreak/>
        <w:t xml:space="preserve">FEFAC Soy Sourcing Guidelines. Estimates from 2019 pointed to 42%. The new data also concerns the FEFAC Soy Sourcing Guidelines 2021, which included an update that provides room to consider responsible soy purchases to also be in line with deforestation- and conversion free soy production. The European Soy Monitor 2022/2023 is co-published </w:t>
      </w:r>
      <w:r>
        <w:t xml:space="preserve">by FEFAC </w:t>
      </w:r>
      <w:r w:rsidRPr="00DD5464">
        <w:t>with Donau Soja, FEDIOL, IDH, IUCN NL, ProTerra Foundation and Round Table on Responsible Soy Association (RTRS).</w:t>
      </w:r>
      <w:r w:rsidRPr="00DD5464">
        <w:br/>
      </w:r>
    </w:p>
    <w:p w14:paraId="3771E2CE" w14:textId="77777777" w:rsidR="00DD5464" w:rsidRPr="004B752C" w:rsidRDefault="00DD5464" w:rsidP="00236EF8">
      <w:pPr>
        <w:pStyle w:val="Default"/>
        <w:ind w:left="284"/>
        <w:rPr>
          <w:lang w:val="en-US"/>
        </w:rPr>
      </w:pPr>
    </w:p>
    <w:p w14:paraId="3E70C65E" w14:textId="77777777" w:rsidR="00E83E12" w:rsidRPr="004B752C" w:rsidRDefault="00E83E12" w:rsidP="00236EF8">
      <w:pPr>
        <w:pStyle w:val="Default"/>
        <w:numPr>
          <w:ilvl w:val="0"/>
          <w:numId w:val="18"/>
        </w:numPr>
        <w:ind w:left="284"/>
        <w:rPr>
          <w:i/>
          <w:iCs/>
          <w:sz w:val="22"/>
          <w:szCs w:val="22"/>
          <w:lang w:val="en-US"/>
        </w:rPr>
      </w:pPr>
      <w:r w:rsidRPr="004B752C">
        <w:rPr>
          <w:i/>
          <w:iCs/>
          <w:lang w:val="en-US"/>
        </w:rPr>
        <w:t xml:space="preserve">continue to engage in dialogue with other food chain/systems actors and EU and international policy-makers to forge (new) relationships, exchange good practices and discuss challenges encountered, learn from each other (studies, projects) and create better mutual understanding, and identify opportunities for collaboration and potential partnership. </w:t>
      </w:r>
    </w:p>
    <w:p w14:paraId="0776CC29" w14:textId="77777777" w:rsidR="00E83E12" w:rsidRPr="004B752C" w:rsidRDefault="00E83E12" w:rsidP="00236EF8">
      <w:pPr>
        <w:pStyle w:val="Default"/>
        <w:ind w:left="284"/>
        <w:rPr>
          <w:sz w:val="22"/>
          <w:szCs w:val="22"/>
          <w:lang w:val="en-US"/>
        </w:rPr>
      </w:pPr>
    </w:p>
    <w:p w14:paraId="5EADB23F" w14:textId="529AB9B5" w:rsidR="0096783A" w:rsidRDefault="00B26583" w:rsidP="00236EF8">
      <w:pPr>
        <w:ind w:left="284"/>
        <w:rPr>
          <w:lang w:val="en-US"/>
        </w:rPr>
      </w:pPr>
      <w:r>
        <w:rPr>
          <w:lang w:val="en-US"/>
        </w:rPr>
        <w:t xml:space="preserve">The examples of the Green Feed Labelling Guidance and the Circular Feed Platform are prime examples where FEFAC took a lead and engaged with value chain partners to achieve a result that will contribute to the aspirational targets. </w:t>
      </w:r>
    </w:p>
    <w:p w14:paraId="483C61FB" w14:textId="0F2F94F1" w:rsidR="0096783A" w:rsidRPr="00B26583" w:rsidRDefault="0096783A" w:rsidP="00236EF8">
      <w:pPr>
        <w:pStyle w:val="Default"/>
        <w:ind w:left="284"/>
        <w:rPr>
          <w:sz w:val="22"/>
          <w:szCs w:val="22"/>
          <w:highlight w:val="yellow"/>
          <w:lang w:val="en-US"/>
        </w:rPr>
      </w:pPr>
      <w:r w:rsidRPr="00B26583">
        <w:rPr>
          <w:sz w:val="22"/>
          <w:szCs w:val="22"/>
        </w:rPr>
        <w:t xml:space="preserve">On 12 September 2024 FEFAC delivered a speaker to the </w:t>
      </w:r>
      <w:r w:rsidRPr="00B26583">
        <w:rPr>
          <w:sz w:val="22"/>
          <w:szCs w:val="22"/>
          <w:lang w:val="en-US"/>
        </w:rPr>
        <w:t>EU Code of Conduct event on Sustainable sourcing and traceability in food supply chains, where it explained its approach to facilitating sustainable soy sourcing with help of the FEFAC Soy Sourcing Guidelines</w:t>
      </w:r>
      <w:r w:rsidR="00B26583" w:rsidRPr="00B26583">
        <w:rPr>
          <w:sz w:val="22"/>
          <w:szCs w:val="22"/>
          <w:lang w:val="en-US"/>
        </w:rPr>
        <w:t xml:space="preserve"> as an example for other food chain actors</w:t>
      </w:r>
      <w:r w:rsidRPr="00B26583">
        <w:rPr>
          <w:sz w:val="22"/>
          <w:szCs w:val="22"/>
          <w:lang w:val="en-US"/>
        </w:rPr>
        <w:t xml:space="preserve">. In addition, FEFAC engaged in the panel session on the topic of implementing the EU Deforestation Regulation. </w:t>
      </w:r>
    </w:p>
    <w:p w14:paraId="2327C850" w14:textId="77777777" w:rsidR="0096783A" w:rsidRPr="004B752C" w:rsidRDefault="0096783A" w:rsidP="00236EF8">
      <w:pPr>
        <w:ind w:left="284"/>
        <w:rPr>
          <w:lang w:val="en-US"/>
        </w:rPr>
      </w:pPr>
    </w:p>
    <w:sectPr w:rsidR="0096783A" w:rsidRPr="004B752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3ED7" w14:textId="77777777" w:rsidR="00894715" w:rsidRDefault="00894715" w:rsidP="0078017E">
      <w:pPr>
        <w:spacing w:after="0" w:line="240" w:lineRule="auto"/>
      </w:pPr>
      <w:r>
        <w:separator/>
      </w:r>
    </w:p>
  </w:endnote>
  <w:endnote w:type="continuationSeparator" w:id="0">
    <w:p w14:paraId="40589EA0" w14:textId="77777777" w:rsidR="00894715" w:rsidRDefault="00894715" w:rsidP="00780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39B9" w14:textId="77777777" w:rsidR="0078017E" w:rsidRDefault="00780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E741" w14:textId="77777777" w:rsidR="0078017E" w:rsidRDefault="00780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6B96" w14:textId="77777777" w:rsidR="0078017E" w:rsidRDefault="00780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931D0" w14:textId="77777777" w:rsidR="00894715" w:rsidRDefault="00894715" w:rsidP="0078017E">
      <w:pPr>
        <w:spacing w:after="0" w:line="240" w:lineRule="auto"/>
      </w:pPr>
      <w:r>
        <w:separator/>
      </w:r>
    </w:p>
  </w:footnote>
  <w:footnote w:type="continuationSeparator" w:id="0">
    <w:p w14:paraId="46FDBFE9" w14:textId="77777777" w:rsidR="00894715" w:rsidRDefault="00894715" w:rsidP="00780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7D2F" w14:textId="23A2C59B" w:rsidR="0078017E" w:rsidRDefault="00780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6AAE" w14:textId="36838933" w:rsidR="0078017E" w:rsidRDefault="00780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9419" w14:textId="24066022" w:rsidR="0078017E" w:rsidRDefault="00780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8B5"/>
      </v:shape>
    </w:pict>
  </w:numPicBullet>
  <w:abstractNum w:abstractNumId="0" w15:restartNumberingAfterBreak="0">
    <w:nsid w:val="8A026097"/>
    <w:multiLevelType w:val="hybridMultilevel"/>
    <w:tmpl w:val="76151F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84DD84"/>
    <w:multiLevelType w:val="hybridMultilevel"/>
    <w:tmpl w:val="0332083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F2F661"/>
    <w:multiLevelType w:val="hybridMultilevel"/>
    <w:tmpl w:val="89CDC2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69DBEF"/>
    <w:multiLevelType w:val="hybridMultilevel"/>
    <w:tmpl w:val="36A7B9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103F53"/>
    <w:multiLevelType w:val="multilevel"/>
    <w:tmpl w:val="2E4C8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A2323"/>
    <w:multiLevelType w:val="hybridMultilevel"/>
    <w:tmpl w:val="6734BC72"/>
    <w:lvl w:ilvl="0" w:tplc="F6FCD22C">
      <w:numFmt w:val="bullet"/>
      <w:lvlText w:val="-"/>
      <w:lvlJc w:val="left"/>
      <w:pPr>
        <w:ind w:left="1080" w:hanging="360"/>
      </w:pPr>
      <w:rPr>
        <w:rFonts w:ascii="Calibri" w:eastAsiaTheme="minorHAnsi" w:hAnsi="Calibri" w:cs="Calibri" w:hint="default"/>
        <w:color w:val="80000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175AEB78"/>
    <w:multiLevelType w:val="hybridMultilevel"/>
    <w:tmpl w:val="9D6903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4D7D5B"/>
    <w:multiLevelType w:val="hybridMultilevel"/>
    <w:tmpl w:val="C7686F80"/>
    <w:lvl w:ilvl="0" w:tplc="6FD6023E">
      <w:numFmt w:val="bullet"/>
      <w:lvlText w:val="-"/>
      <w:lvlJc w:val="left"/>
      <w:pPr>
        <w:ind w:left="786" w:hanging="360"/>
      </w:pPr>
      <w:rPr>
        <w:rFonts w:ascii="Calibri" w:eastAsia="Times New Roman" w:hAnsi="Calibri" w:cs="Calibri"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8" w15:restartNumberingAfterBreak="0">
    <w:nsid w:val="1EE15BA5"/>
    <w:multiLevelType w:val="hybridMultilevel"/>
    <w:tmpl w:val="1CC4F7D6"/>
    <w:lvl w:ilvl="0" w:tplc="DFA8D4C4">
      <w:numFmt w:val="bullet"/>
      <w:lvlText w:val="-"/>
      <w:lvlJc w:val="left"/>
      <w:pPr>
        <w:ind w:left="1080" w:hanging="360"/>
      </w:pPr>
      <w:rPr>
        <w:rFonts w:ascii="Calibri" w:eastAsiaTheme="minorHAnsi" w:hAnsi="Calibri" w:cs="Calibri" w:hint="default"/>
        <w:color w:val="80000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22B47BF3"/>
    <w:multiLevelType w:val="hybridMultilevel"/>
    <w:tmpl w:val="FCB2E4F6"/>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334E671D"/>
    <w:multiLevelType w:val="hybridMultilevel"/>
    <w:tmpl w:val="09DCC03C"/>
    <w:lvl w:ilvl="0" w:tplc="20000005">
      <w:start w:val="1"/>
      <w:numFmt w:val="bullet"/>
      <w:lvlText w:val=""/>
      <w:lvlJc w:val="left"/>
      <w:pPr>
        <w:ind w:left="1146" w:hanging="360"/>
      </w:pPr>
      <w:rPr>
        <w:rFonts w:ascii="Wingdings" w:hAnsi="Wingdings"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1" w15:restartNumberingAfterBreak="0">
    <w:nsid w:val="3660C9EA"/>
    <w:multiLevelType w:val="hybridMultilevel"/>
    <w:tmpl w:val="B253035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1A10165"/>
    <w:multiLevelType w:val="hybridMultilevel"/>
    <w:tmpl w:val="66007AAC"/>
    <w:lvl w:ilvl="0" w:tplc="2000000D">
      <w:start w:val="1"/>
      <w:numFmt w:val="bullet"/>
      <w:lvlText w:val=""/>
      <w:lvlJc w:val="left"/>
      <w:pPr>
        <w:ind w:left="1146" w:hanging="360"/>
      </w:pPr>
      <w:rPr>
        <w:rFonts w:ascii="Wingdings" w:hAnsi="Wingdings"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3" w15:restartNumberingAfterBreak="0">
    <w:nsid w:val="425F76F4"/>
    <w:multiLevelType w:val="hybridMultilevel"/>
    <w:tmpl w:val="8D1E3C6A"/>
    <w:lvl w:ilvl="0" w:tplc="28E649BA">
      <w:start w:val="1"/>
      <w:numFmt w:val="bullet"/>
      <w:lvlText w:val=""/>
      <w:lvlJc w:val="left"/>
      <w:pPr>
        <w:tabs>
          <w:tab w:val="num" w:pos="720"/>
        </w:tabs>
        <w:ind w:left="720" w:hanging="360"/>
      </w:pPr>
      <w:rPr>
        <w:rFonts w:ascii="Wingdings" w:hAnsi="Wingdings" w:hint="default"/>
      </w:rPr>
    </w:lvl>
    <w:lvl w:ilvl="1" w:tplc="DCBCD814" w:tentative="1">
      <w:start w:val="1"/>
      <w:numFmt w:val="bullet"/>
      <w:lvlText w:val=""/>
      <w:lvlJc w:val="left"/>
      <w:pPr>
        <w:tabs>
          <w:tab w:val="num" w:pos="1440"/>
        </w:tabs>
        <w:ind w:left="1440" w:hanging="360"/>
      </w:pPr>
      <w:rPr>
        <w:rFonts w:ascii="Wingdings" w:hAnsi="Wingdings" w:hint="default"/>
      </w:rPr>
    </w:lvl>
    <w:lvl w:ilvl="2" w:tplc="F06E4C9E" w:tentative="1">
      <w:start w:val="1"/>
      <w:numFmt w:val="bullet"/>
      <w:lvlText w:val=""/>
      <w:lvlJc w:val="left"/>
      <w:pPr>
        <w:tabs>
          <w:tab w:val="num" w:pos="2160"/>
        </w:tabs>
        <w:ind w:left="2160" w:hanging="360"/>
      </w:pPr>
      <w:rPr>
        <w:rFonts w:ascii="Wingdings" w:hAnsi="Wingdings" w:hint="default"/>
      </w:rPr>
    </w:lvl>
    <w:lvl w:ilvl="3" w:tplc="E11A2A6E" w:tentative="1">
      <w:start w:val="1"/>
      <w:numFmt w:val="bullet"/>
      <w:lvlText w:val=""/>
      <w:lvlJc w:val="left"/>
      <w:pPr>
        <w:tabs>
          <w:tab w:val="num" w:pos="2880"/>
        </w:tabs>
        <w:ind w:left="2880" w:hanging="360"/>
      </w:pPr>
      <w:rPr>
        <w:rFonts w:ascii="Wingdings" w:hAnsi="Wingdings" w:hint="default"/>
      </w:rPr>
    </w:lvl>
    <w:lvl w:ilvl="4" w:tplc="39FA88F2" w:tentative="1">
      <w:start w:val="1"/>
      <w:numFmt w:val="bullet"/>
      <w:lvlText w:val=""/>
      <w:lvlJc w:val="left"/>
      <w:pPr>
        <w:tabs>
          <w:tab w:val="num" w:pos="3600"/>
        </w:tabs>
        <w:ind w:left="3600" w:hanging="360"/>
      </w:pPr>
      <w:rPr>
        <w:rFonts w:ascii="Wingdings" w:hAnsi="Wingdings" w:hint="default"/>
      </w:rPr>
    </w:lvl>
    <w:lvl w:ilvl="5" w:tplc="45F67C24" w:tentative="1">
      <w:start w:val="1"/>
      <w:numFmt w:val="bullet"/>
      <w:lvlText w:val=""/>
      <w:lvlJc w:val="left"/>
      <w:pPr>
        <w:tabs>
          <w:tab w:val="num" w:pos="4320"/>
        </w:tabs>
        <w:ind w:left="4320" w:hanging="360"/>
      </w:pPr>
      <w:rPr>
        <w:rFonts w:ascii="Wingdings" w:hAnsi="Wingdings" w:hint="default"/>
      </w:rPr>
    </w:lvl>
    <w:lvl w:ilvl="6" w:tplc="05BC45EA" w:tentative="1">
      <w:start w:val="1"/>
      <w:numFmt w:val="bullet"/>
      <w:lvlText w:val=""/>
      <w:lvlJc w:val="left"/>
      <w:pPr>
        <w:tabs>
          <w:tab w:val="num" w:pos="5040"/>
        </w:tabs>
        <w:ind w:left="5040" w:hanging="360"/>
      </w:pPr>
      <w:rPr>
        <w:rFonts w:ascii="Wingdings" w:hAnsi="Wingdings" w:hint="default"/>
      </w:rPr>
    </w:lvl>
    <w:lvl w:ilvl="7" w:tplc="7C8C7B0A" w:tentative="1">
      <w:start w:val="1"/>
      <w:numFmt w:val="bullet"/>
      <w:lvlText w:val=""/>
      <w:lvlJc w:val="left"/>
      <w:pPr>
        <w:tabs>
          <w:tab w:val="num" w:pos="5760"/>
        </w:tabs>
        <w:ind w:left="5760" w:hanging="360"/>
      </w:pPr>
      <w:rPr>
        <w:rFonts w:ascii="Wingdings" w:hAnsi="Wingdings" w:hint="default"/>
      </w:rPr>
    </w:lvl>
    <w:lvl w:ilvl="8" w:tplc="B286497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4C78DB"/>
    <w:multiLevelType w:val="hybridMultilevel"/>
    <w:tmpl w:val="91B094EE"/>
    <w:lvl w:ilvl="0" w:tplc="FFFFFFFF">
      <w:start w:val="1"/>
      <w:numFmt w:val="decimal"/>
      <w:lvlText w:val="%1."/>
      <w:lvlJc w:val="left"/>
    </w:lvl>
    <w:lvl w:ilvl="1" w:tplc="20000019">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15" w15:restartNumberingAfterBreak="0">
    <w:nsid w:val="4A8218D0"/>
    <w:multiLevelType w:val="hybridMultilevel"/>
    <w:tmpl w:val="E3860A66"/>
    <w:lvl w:ilvl="0" w:tplc="347E4FF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2FA45A6"/>
    <w:multiLevelType w:val="hybridMultilevel"/>
    <w:tmpl w:val="12DBCC6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6BA602E"/>
    <w:multiLevelType w:val="hybridMultilevel"/>
    <w:tmpl w:val="2584AB9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7441FE0"/>
    <w:multiLevelType w:val="hybridMultilevel"/>
    <w:tmpl w:val="02D28142"/>
    <w:lvl w:ilvl="0" w:tplc="FFFFFFFF">
      <w:start w:val="1"/>
      <w:numFmt w:val="decimal"/>
      <w:lvlText w:val="%1."/>
      <w:lvlJc w:val="left"/>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7675788"/>
    <w:multiLevelType w:val="hybridMultilevel"/>
    <w:tmpl w:val="7A5A5FB0"/>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5E5D6B8A"/>
    <w:multiLevelType w:val="hybridMultilevel"/>
    <w:tmpl w:val="8A289D68"/>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6B0F58"/>
    <w:multiLevelType w:val="hybridMultilevel"/>
    <w:tmpl w:val="AE22D924"/>
    <w:lvl w:ilvl="0" w:tplc="2000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D243EF8"/>
    <w:multiLevelType w:val="hybridMultilevel"/>
    <w:tmpl w:val="E6803CC4"/>
    <w:lvl w:ilvl="0" w:tplc="20000007">
      <w:start w:val="1"/>
      <w:numFmt w:val="bullet"/>
      <w:lvlText w:val=""/>
      <w:lvlPicBulletId w:val="0"/>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E22B35"/>
    <w:multiLevelType w:val="hybridMultilevel"/>
    <w:tmpl w:val="42C6F88A"/>
    <w:lvl w:ilvl="0" w:tplc="7152D184">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755A5E28"/>
    <w:multiLevelType w:val="hybridMultilevel"/>
    <w:tmpl w:val="EF7634B8"/>
    <w:lvl w:ilvl="0" w:tplc="20000007">
      <w:start w:val="1"/>
      <w:numFmt w:val="bullet"/>
      <w:lvlText w:val=""/>
      <w:lvlPicBulletId w:val="0"/>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97E2F5B"/>
    <w:multiLevelType w:val="hybridMultilevel"/>
    <w:tmpl w:val="09B25A2E"/>
    <w:lvl w:ilvl="0" w:tplc="ED160792">
      <w:start w:val="1"/>
      <w:numFmt w:val="bullet"/>
      <w:lvlText w:val=""/>
      <w:lvlJc w:val="left"/>
      <w:pPr>
        <w:tabs>
          <w:tab w:val="num" w:pos="720"/>
        </w:tabs>
        <w:ind w:left="720" w:hanging="360"/>
      </w:pPr>
      <w:rPr>
        <w:rFonts w:ascii="Wingdings" w:hAnsi="Wingdings" w:hint="default"/>
      </w:rPr>
    </w:lvl>
    <w:lvl w:ilvl="1" w:tplc="CF161778" w:tentative="1">
      <w:start w:val="1"/>
      <w:numFmt w:val="bullet"/>
      <w:lvlText w:val=""/>
      <w:lvlJc w:val="left"/>
      <w:pPr>
        <w:tabs>
          <w:tab w:val="num" w:pos="1440"/>
        </w:tabs>
        <w:ind w:left="1440" w:hanging="360"/>
      </w:pPr>
      <w:rPr>
        <w:rFonts w:ascii="Wingdings" w:hAnsi="Wingdings" w:hint="default"/>
      </w:rPr>
    </w:lvl>
    <w:lvl w:ilvl="2" w:tplc="C622997C" w:tentative="1">
      <w:start w:val="1"/>
      <w:numFmt w:val="bullet"/>
      <w:lvlText w:val=""/>
      <w:lvlJc w:val="left"/>
      <w:pPr>
        <w:tabs>
          <w:tab w:val="num" w:pos="2160"/>
        </w:tabs>
        <w:ind w:left="2160" w:hanging="360"/>
      </w:pPr>
      <w:rPr>
        <w:rFonts w:ascii="Wingdings" w:hAnsi="Wingdings" w:hint="default"/>
      </w:rPr>
    </w:lvl>
    <w:lvl w:ilvl="3" w:tplc="99DE85AC" w:tentative="1">
      <w:start w:val="1"/>
      <w:numFmt w:val="bullet"/>
      <w:lvlText w:val=""/>
      <w:lvlJc w:val="left"/>
      <w:pPr>
        <w:tabs>
          <w:tab w:val="num" w:pos="2880"/>
        </w:tabs>
        <w:ind w:left="2880" w:hanging="360"/>
      </w:pPr>
      <w:rPr>
        <w:rFonts w:ascii="Wingdings" w:hAnsi="Wingdings" w:hint="default"/>
      </w:rPr>
    </w:lvl>
    <w:lvl w:ilvl="4" w:tplc="8B780AA4" w:tentative="1">
      <w:start w:val="1"/>
      <w:numFmt w:val="bullet"/>
      <w:lvlText w:val=""/>
      <w:lvlJc w:val="left"/>
      <w:pPr>
        <w:tabs>
          <w:tab w:val="num" w:pos="3600"/>
        </w:tabs>
        <w:ind w:left="3600" w:hanging="360"/>
      </w:pPr>
      <w:rPr>
        <w:rFonts w:ascii="Wingdings" w:hAnsi="Wingdings" w:hint="default"/>
      </w:rPr>
    </w:lvl>
    <w:lvl w:ilvl="5" w:tplc="7D5EEB64" w:tentative="1">
      <w:start w:val="1"/>
      <w:numFmt w:val="bullet"/>
      <w:lvlText w:val=""/>
      <w:lvlJc w:val="left"/>
      <w:pPr>
        <w:tabs>
          <w:tab w:val="num" w:pos="4320"/>
        </w:tabs>
        <w:ind w:left="4320" w:hanging="360"/>
      </w:pPr>
      <w:rPr>
        <w:rFonts w:ascii="Wingdings" w:hAnsi="Wingdings" w:hint="default"/>
      </w:rPr>
    </w:lvl>
    <w:lvl w:ilvl="6" w:tplc="1706CA84" w:tentative="1">
      <w:start w:val="1"/>
      <w:numFmt w:val="bullet"/>
      <w:lvlText w:val=""/>
      <w:lvlJc w:val="left"/>
      <w:pPr>
        <w:tabs>
          <w:tab w:val="num" w:pos="5040"/>
        </w:tabs>
        <w:ind w:left="5040" w:hanging="360"/>
      </w:pPr>
      <w:rPr>
        <w:rFonts w:ascii="Wingdings" w:hAnsi="Wingdings" w:hint="default"/>
      </w:rPr>
    </w:lvl>
    <w:lvl w:ilvl="7" w:tplc="AA867AC0" w:tentative="1">
      <w:start w:val="1"/>
      <w:numFmt w:val="bullet"/>
      <w:lvlText w:val=""/>
      <w:lvlJc w:val="left"/>
      <w:pPr>
        <w:tabs>
          <w:tab w:val="num" w:pos="5760"/>
        </w:tabs>
        <w:ind w:left="5760" w:hanging="360"/>
      </w:pPr>
      <w:rPr>
        <w:rFonts w:ascii="Wingdings" w:hAnsi="Wingdings" w:hint="default"/>
      </w:rPr>
    </w:lvl>
    <w:lvl w:ilvl="8" w:tplc="8D44F2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7089D"/>
    <w:multiLevelType w:val="hybridMultilevel"/>
    <w:tmpl w:val="2D8A502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B693444"/>
    <w:multiLevelType w:val="hybridMultilevel"/>
    <w:tmpl w:val="B8E23624"/>
    <w:lvl w:ilvl="0" w:tplc="778E19BA">
      <w:start w:val="1"/>
      <w:numFmt w:val="bullet"/>
      <w:lvlText w:val=""/>
      <w:lvlJc w:val="left"/>
      <w:pPr>
        <w:tabs>
          <w:tab w:val="num" w:pos="720"/>
        </w:tabs>
        <w:ind w:left="720" w:hanging="360"/>
      </w:pPr>
      <w:rPr>
        <w:rFonts w:ascii="Wingdings" w:hAnsi="Wingdings" w:hint="default"/>
      </w:rPr>
    </w:lvl>
    <w:lvl w:ilvl="1" w:tplc="7DC686EA" w:tentative="1">
      <w:start w:val="1"/>
      <w:numFmt w:val="bullet"/>
      <w:lvlText w:val=""/>
      <w:lvlJc w:val="left"/>
      <w:pPr>
        <w:tabs>
          <w:tab w:val="num" w:pos="1440"/>
        </w:tabs>
        <w:ind w:left="1440" w:hanging="360"/>
      </w:pPr>
      <w:rPr>
        <w:rFonts w:ascii="Wingdings" w:hAnsi="Wingdings" w:hint="default"/>
      </w:rPr>
    </w:lvl>
    <w:lvl w:ilvl="2" w:tplc="236ADE56" w:tentative="1">
      <w:start w:val="1"/>
      <w:numFmt w:val="bullet"/>
      <w:lvlText w:val=""/>
      <w:lvlJc w:val="left"/>
      <w:pPr>
        <w:tabs>
          <w:tab w:val="num" w:pos="2160"/>
        </w:tabs>
        <w:ind w:left="2160" w:hanging="360"/>
      </w:pPr>
      <w:rPr>
        <w:rFonts w:ascii="Wingdings" w:hAnsi="Wingdings" w:hint="default"/>
      </w:rPr>
    </w:lvl>
    <w:lvl w:ilvl="3" w:tplc="49FCD466" w:tentative="1">
      <w:start w:val="1"/>
      <w:numFmt w:val="bullet"/>
      <w:lvlText w:val=""/>
      <w:lvlJc w:val="left"/>
      <w:pPr>
        <w:tabs>
          <w:tab w:val="num" w:pos="2880"/>
        </w:tabs>
        <w:ind w:left="2880" w:hanging="360"/>
      </w:pPr>
      <w:rPr>
        <w:rFonts w:ascii="Wingdings" w:hAnsi="Wingdings" w:hint="default"/>
      </w:rPr>
    </w:lvl>
    <w:lvl w:ilvl="4" w:tplc="F02EB51C" w:tentative="1">
      <w:start w:val="1"/>
      <w:numFmt w:val="bullet"/>
      <w:lvlText w:val=""/>
      <w:lvlJc w:val="left"/>
      <w:pPr>
        <w:tabs>
          <w:tab w:val="num" w:pos="3600"/>
        </w:tabs>
        <w:ind w:left="3600" w:hanging="360"/>
      </w:pPr>
      <w:rPr>
        <w:rFonts w:ascii="Wingdings" w:hAnsi="Wingdings" w:hint="default"/>
      </w:rPr>
    </w:lvl>
    <w:lvl w:ilvl="5" w:tplc="8F74D1FC" w:tentative="1">
      <w:start w:val="1"/>
      <w:numFmt w:val="bullet"/>
      <w:lvlText w:val=""/>
      <w:lvlJc w:val="left"/>
      <w:pPr>
        <w:tabs>
          <w:tab w:val="num" w:pos="4320"/>
        </w:tabs>
        <w:ind w:left="4320" w:hanging="360"/>
      </w:pPr>
      <w:rPr>
        <w:rFonts w:ascii="Wingdings" w:hAnsi="Wingdings" w:hint="default"/>
      </w:rPr>
    </w:lvl>
    <w:lvl w:ilvl="6" w:tplc="6B4261F4" w:tentative="1">
      <w:start w:val="1"/>
      <w:numFmt w:val="bullet"/>
      <w:lvlText w:val=""/>
      <w:lvlJc w:val="left"/>
      <w:pPr>
        <w:tabs>
          <w:tab w:val="num" w:pos="5040"/>
        </w:tabs>
        <w:ind w:left="5040" w:hanging="360"/>
      </w:pPr>
      <w:rPr>
        <w:rFonts w:ascii="Wingdings" w:hAnsi="Wingdings" w:hint="default"/>
      </w:rPr>
    </w:lvl>
    <w:lvl w:ilvl="7" w:tplc="4D52A4BC" w:tentative="1">
      <w:start w:val="1"/>
      <w:numFmt w:val="bullet"/>
      <w:lvlText w:val=""/>
      <w:lvlJc w:val="left"/>
      <w:pPr>
        <w:tabs>
          <w:tab w:val="num" w:pos="5760"/>
        </w:tabs>
        <w:ind w:left="5760" w:hanging="360"/>
      </w:pPr>
      <w:rPr>
        <w:rFonts w:ascii="Wingdings" w:hAnsi="Wingdings" w:hint="default"/>
      </w:rPr>
    </w:lvl>
    <w:lvl w:ilvl="8" w:tplc="2C4EF4C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A63206"/>
    <w:multiLevelType w:val="hybridMultilevel"/>
    <w:tmpl w:val="E68E7738"/>
    <w:lvl w:ilvl="0" w:tplc="2000000D">
      <w:start w:val="1"/>
      <w:numFmt w:val="bullet"/>
      <w:lvlText w:val=""/>
      <w:lvlJc w:val="left"/>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DA275C6"/>
    <w:multiLevelType w:val="hybridMultilevel"/>
    <w:tmpl w:val="1980BA7C"/>
    <w:lvl w:ilvl="0" w:tplc="AA528D82">
      <w:start w:val="1"/>
      <w:numFmt w:val="bullet"/>
      <w:lvlText w:val=""/>
      <w:lvlJc w:val="left"/>
      <w:pPr>
        <w:tabs>
          <w:tab w:val="num" w:pos="720"/>
        </w:tabs>
        <w:ind w:left="720" w:hanging="360"/>
      </w:pPr>
      <w:rPr>
        <w:rFonts w:ascii="Wingdings" w:hAnsi="Wingdings" w:hint="default"/>
      </w:rPr>
    </w:lvl>
    <w:lvl w:ilvl="1" w:tplc="1C94CF0E" w:tentative="1">
      <w:start w:val="1"/>
      <w:numFmt w:val="bullet"/>
      <w:lvlText w:val=""/>
      <w:lvlJc w:val="left"/>
      <w:pPr>
        <w:tabs>
          <w:tab w:val="num" w:pos="1440"/>
        </w:tabs>
        <w:ind w:left="1440" w:hanging="360"/>
      </w:pPr>
      <w:rPr>
        <w:rFonts w:ascii="Wingdings" w:hAnsi="Wingdings" w:hint="default"/>
      </w:rPr>
    </w:lvl>
    <w:lvl w:ilvl="2" w:tplc="F288E048" w:tentative="1">
      <w:start w:val="1"/>
      <w:numFmt w:val="bullet"/>
      <w:lvlText w:val=""/>
      <w:lvlJc w:val="left"/>
      <w:pPr>
        <w:tabs>
          <w:tab w:val="num" w:pos="2160"/>
        </w:tabs>
        <w:ind w:left="2160" w:hanging="360"/>
      </w:pPr>
      <w:rPr>
        <w:rFonts w:ascii="Wingdings" w:hAnsi="Wingdings" w:hint="default"/>
      </w:rPr>
    </w:lvl>
    <w:lvl w:ilvl="3" w:tplc="C3760F00" w:tentative="1">
      <w:start w:val="1"/>
      <w:numFmt w:val="bullet"/>
      <w:lvlText w:val=""/>
      <w:lvlJc w:val="left"/>
      <w:pPr>
        <w:tabs>
          <w:tab w:val="num" w:pos="2880"/>
        </w:tabs>
        <w:ind w:left="2880" w:hanging="360"/>
      </w:pPr>
      <w:rPr>
        <w:rFonts w:ascii="Wingdings" w:hAnsi="Wingdings" w:hint="default"/>
      </w:rPr>
    </w:lvl>
    <w:lvl w:ilvl="4" w:tplc="C0A2863C" w:tentative="1">
      <w:start w:val="1"/>
      <w:numFmt w:val="bullet"/>
      <w:lvlText w:val=""/>
      <w:lvlJc w:val="left"/>
      <w:pPr>
        <w:tabs>
          <w:tab w:val="num" w:pos="3600"/>
        </w:tabs>
        <w:ind w:left="3600" w:hanging="360"/>
      </w:pPr>
      <w:rPr>
        <w:rFonts w:ascii="Wingdings" w:hAnsi="Wingdings" w:hint="default"/>
      </w:rPr>
    </w:lvl>
    <w:lvl w:ilvl="5" w:tplc="131C5C4C" w:tentative="1">
      <w:start w:val="1"/>
      <w:numFmt w:val="bullet"/>
      <w:lvlText w:val=""/>
      <w:lvlJc w:val="left"/>
      <w:pPr>
        <w:tabs>
          <w:tab w:val="num" w:pos="4320"/>
        </w:tabs>
        <w:ind w:left="4320" w:hanging="360"/>
      </w:pPr>
      <w:rPr>
        <w:rFonts w:ascii="Wingdings" w:hAnsi="Wingdings" w:hint="default"/>
      </w:rPr>
    </w:lvl>
    <w:lvl w:ilvl="6" w:tplc="246CC146" w:tentative="1">
      <w:start w:val="1"/>
      <w:numFmt w:val="bullet"/>
      <w:lvlText w:val=""/>
      <w:lvlJc w:val="left"/>
      <w:pPr>
        <w:tabs>
          <w:tab w:val="num" w:pos="5040"/>
        </w:tabs>
        <w:ind w:left="5040" w:hanging="360"/>
      </w:pPr>
      <w:rPr>
        <w:rFonts w:ascii="Wingdings" w:hAnsi="Wingdings" w:hint="default"/>
      </w:rPr>
    </w:lvl>
    <w:lvl w:ilvl="7" w:tplc="1BDC462A" w:tentative="1">
      <w:start w:val="1"/>
      <w:numFmt w:val="bullet"/>
      <w:lvlText w:val=""/>
      <w:lvlJc w:val="left"/>
      <w:pPr>
        <w:tabs>
          <w:tab w:val="num" w:pos="5760"/>
        </w:tabs>
        <w:ind w:left="5760" w:hanging="360"/>
      </w:pPr>
      <w:rPr>
        <w:rFonts w:ascii="Wingdings" w:hAnsi="Wingdings" w:hint="default"/>
      </w:rPr>
    </w:lvl>
    <w:lvl w:ilvl="8" w:tplc="1938E18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6C5042"/>
    <w:multiLevelType w:val="hybridMultilevel"/>
    <w:tmpl w:val="A12820DC"/>
    <w:lvl w:ilvl="0" w:tplc="20000001">
      <w:start w:val="1"/>
      <w:numFmt w:val="bullet"/>
      <w:lvlText w:val=""/>
      <w:lvlJc w:val="left"/>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FFE1547"/>
    <w:multiLevelType w:val="hybridMultilevel"/>
    <w:tmpl w:val="45146258"/>
    <w:lvl w:ilvl="0" w:tplc="2000000D">
      <w:start w:val="1"/>
      <w:numFmt w:val="bullet"/>
      <w:lvlText w:val=""/>
      <w:lvlJc w:val="left"/>
      <w:pPr>
        <w:ind w:left="720" w:hanging="360"/>
      </w:pPr>
      <w:rPr>
        <w:rFonts w:ascii="Wingdings" w:hAnsi="Wingdings" w:hint="default"/>
      </w:rPr>
    </w:lvl>
    <w:lvl w:ilvl="1" w:tplc="63067AA8">
      <w:numFmt w:val="bullet"/>
      <w:lvlText w:val="•"/>
      <w:lvlJc w:val="left"/>
      <w:pPr>
        <w:ind w:left="1440" w:hanging="360"/>
      </w:pPr>
      <w:rPr>
        <w:rFonts w:ascii="Calibri" w:eastAsiaTheme="minorHAnsi" w:hAnsi="Calibri" w:cs="Calibri" w:hint="default"/>
        <w:i w:val="0"/>
        <w:sz w:val="24"/>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4924162">
    <w:abstractNumId w:val="4"/>
  </w:num>
  <w:num w:numId="2" w16cid:durableId="491028066">
    <w:abstractNumId w:val="24"/>
  </w:num>
  <w:num w:numId="3" w16cid:durableId="94250657">
    <w:abstractNumId w:val="22"/>
  </w:num>
  <w:num w:numId="4" w16cid:durableId="1136871164">
    <w:abstractNumId w:val="21"/>
  </w:num>
  <w:num w:numId="5" w16cid:durableId="900561343">
    <w:abstractNumId w:val="7"/>
  </w:num>
  <w:num w:numId="6" w16cid:durableId="12922642">
    <w:abstractNumId w:val="16"/>
  </w:num>
  <w:num w:numId="7" w16cid:durableId="229117991">
    <w:abstractNumId w:val="3"/>
  </w:num>
  <w:num w:numId="8" w16cid:durableId="2080398542">
    <w:abstractNumId w:val="0"/>
  </w:num>
  <w:num w:numId="9" w16cid:durableId="1251500296">
    <w:abstractNumId w:val="6"/>
  </w:num>
  <w:num w:numId="10" w16cid:durableId="1958439727">
    <w:abstractNumId w:val="10"/>
  </w:num>
  <w:num w:numId="11" w16cid:durableId="761071970">
    <w:abstractNumId w:val="13"/>
  </w:num>
  <w:num w:numId="12" w16cid:durableId="1710911673">
    <w:abstractNumId w:val="29"/>
  </w:num>
  <w:num w:numId="13" w16cid:durableId="1710034018">
    <w:abstractNumId w:val="25"/>
  </w:num>
  <w:num w:numId="14" w16cid:durableId="84807532">
    <w:abstractNumId w:val="27"/>
  </w:num>
  <w:num w:numId="15" w16cid:durableId="498353225">
    <w:abstractNumId w:val="11"/>
  </w:num>
  <w:num w:numId="16" w16cid:durableId="2066296573">
    <w:abstractNumId w:val="2"/>
  </w:num>
  <w:num w:numId="17" w16cid:durableId="548685132">
    <w:abstractNumId w:val="1"/>
  </w:num>
  <w:num w:numId="18" w16cid:durableId="891304442">
    <w:abstractNumId w:val="30"/>
  </w:num>
  <w:num w:numId="19" w16cid:durableId="1912081046">
    <w:abstractNumId w:val="31"/>
  </w:num>
  <w:num w:numId="20" w16cid:durableId="2013988327">
    <w:abstractNumId w:val="26"/>
  </w:num>
  <w:num w:numId="21" w16cid:durableId="1041133621">
    <w:abstractNumId w:val="28"/>
  </w:num>
  <w:num w:numId="22" w16cid:durableId="964627052">
    <w:abstractNumId w:val="20"/>
  </w:num>
  <w:num w:numId="23" w16cid:durableId="1215657550">
    <w:abstractNumId w:val="14"/>
  </w:num>
  <w:num w:numId="24" w16cid:durableId="1006126740">
    <w:abstractNumId w:val="18"/>
  </w:num>
  <w:num w:numId="25" w16cid:durableId="434861308">
    <w:abstractNumId w:val="12"/>
  </w:num>
  <w:num w:numId="26" w16cid:durableId="1829900411">
    <w:abstractNumId w:val="15"/>
  </w:num>
  <w:num w:numId="27" w16cid:durableId="2016372580">
    <w:abstractNumId w:val="23"/>
  </w:num>
  <w:num w:numId="28" w16cid:durableId="527109806">
    <w:abstractNumId w:val="5"/>
  </w:num>
  <w:num w:numId="29" w16cid:durableId="803159046">
    <w:abstractNumId w:val="8"/>
  </w:num>
  <w:num w:numId="30" w16cid:durableId="196940343">
    <w:abstractNumId w:val="9"/>
  </w:num>
  <w:num w:numId="31" w16cid:durableId="1694261065">
    <w:abstractNumId w:val="17"/>
  </w:num>
  <w:num w:numId="32" w16cid:durableId="11044262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CE"/>
    <w:rsid w:val="00062E6B"/>
    <w:rsid w:val="00085C9F"/>
    <w:rsid w:val="000960D2"/>
    <w:rsid w:val="00096F5B"/>
    <w:rsid w:val="001347D5"/>
    <w:rsid w:val="001D02CE"/>
    <w:rsid w:val="001E291C"/>
    <w:rsid w:val="001E5FE5"/>
    <w:rsid w:val="002176D9"/>
    <w:rsid w:val="00236EF8"/>
    <w:rsid w:val="0026750E"/>
    <w:rsid w:val="002A3D64"/>
    <w:rsid w:val="002E3943"/>
    <w:rsid w:val="0031449D"/>
    <w:rsid w:val="003406C4"/>
    <w:rsid w:val="0038078E"/>
    <w:rsid w:val="00402405"/>
    <w:rsid w:val="004059AB"/>
    <w:rsid w:val="0041540C"/>
    <w:rsid w:val="00427C4B"/>
    <w:rsid w:val="00457FEF"/>
    <w:rsid w:val="004A7A47"/>
    <w:rsid w:val="004B752C"/>
    <w:rsid w:val="00531BB8"/>
    <w:rsid w:val="00531E23"/>
    <w:rsid w:val="005655EF"/>
    <w:rsid w:val="005C4C4E"/>
    <w:rsid w:val="005D5963"/>
    <w:rsid w:val="005F6E49"/>
    <w:rsid w:val="006045C1"/>
    <w:rsid w:val="00623EE3"/>
    <w:rsid w:val="00624BB2"/>
    <w:rsid w:val="0068594C"/>
    <w:rsid w:val="007215CB"/>
    <w:rsid w:val="00756295"/>
    <w:rsid w:val="0078017E"/>
    <w:rsid w:val="00782A4A"/>
    <w:rsid w:val="00782EB8"/>
    <w:rsid w:val="007F6E04"/>
    <w:rsid w:val="00827982"/>
    <w:rsid w:val="00894715"/>
    <w:rsid w:val="008D2F9E"/>
    <w:rsid w:val="008D56E4"/>
    <w:rsid w:val="00923E7F"/>
    <w:rsid w:val="009439CE"/>
    <w:rsid w:val="009567FC"/>
    <w:rsid w:val="0096783A"/>
    <w:rsid w:val="009C1801"/>
    <w:rsid w:val="009D2849"/>
    <w:rsid w:val="00A36555"/>
    <w:rsid w:val="00A7310C"/>
    <w:rsid w:val="00A866A4"/>
    <w:rsid w:val="00AC388B"/>
    <w:rsid w:val="00B041F2"/>
    <w:rsid w:val="00B26583"/>
    <w:rsid w:val="00B72159"/>
    <w:rsid w:val="00B846E5"/>
    <w:rsid w:val="00BE6AC1"/>
    <w:rsid w:val="00C46862"/>
    <w:rsid w:val="00C50C9C"/>
    <w:rsid w:val="00C61AF3"/>
    <w:rsid w:val="00CD35B7"/>
    <w:rsid w:val="00CD60A8"/>
    <w:rsid w:val="00DD5464"/>
    <w:rsid w:val="00E37426"/>
    <w:rsid w:val="00E7251D"/>
    <w:rsid w:val="00E83E12"/>
    <w:rsid w:val="00EE7EF7"/>
    <w:rsid w:val="00EF66ED"/>
    <w:rsid w:val="00F34327"/>
    <w:rsid w:val="00F6578E"/>
    <w:rsid w:val="00F950F9"/>
    <w:rsid w:val="00FC35E5"/>
    <w:rsid w:val="00FE3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00C0F"/>
  <w15:docId w15:val="{F9931F3B-197D-4F58-9AFC-7543EB91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2CE"/>
    <w:pPr>
      <w:spacing w:after="0" w:line="240" w:lineRule="auto"/>
      <w:ind w:left="720"/>
    </w:pPr>
    <w:rPr>
      <w:rFonts w:ascii="Calibri" w:hAnsi="Calibri" w:cs="Calibri"/>
    </w:rPr>
  </w:style>
  <w:style w:type="table" w:styleId="TableGrid">
    <w:name w:val="Table Grid"/>
    <w:basedOn w:val="TableNormal"/>
    <w:uiPriority w:val="39"/>
    <w:rsid w:val="00F95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3E1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1540C"/>
    <w:rPr>
      <w:color w:val="0563C1" w:themeColor="hyperlink"/>
      <w:u w:val="single"/>
    </w:rPr>
  </w:style>
  <w:style w:type="character" w:customStyle="1" w:styleId="UnresolvedMention1">
    <w:name w:val="Unresolved Mention1"/>
    <w:basedOn w:val="DefaultParagraphFont"/>
    <w:uiPriority w:val="99"/>
    <w:semiHidden/>
    <w:unhideWhenUsed/>
    <w:rsid w:val="0041540C"/>
    <w:rPr>
      <w:color w:val="605E5C"/>
      <w:shd w:val="clear" w:color="auto" w:fill="E1DFDD"/>
    </w:rPr>
  </w:style>
  <w:style w:type="paragraph" w:styleId="BalloonText">
    <w:name w:val="Balloon Text"/>
    <w:basedOn w:val="Normal"/>
    <w:link w:val="BalloonTextChar"/>
    <w:uiPriority w:val="99"/>
    <w:semiHidden/>
    <w:unhideWhenUsed/>
    <w:rsid w:val="00923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E7F"/>
    <w:rPr>
      <w:rFonts w:ascii="Tahoma" w:hAnsi="Tahoma" w:cs="Tahoma"/>
      <w:sz w:val="16"/>
      <w:szCs w:val="16"/>
    </w:rPr>
  </w:style>
  <w:style w:type="paragraph" w:styleId="Revision">
    <w:name w:val="Revision"/>
    <w:hidden/>
    <w:uiPriority w:val="99"/>
    <w:semiHidden/>
    <w:rsid w:val="004B752C"/>
    <w:pPr>
      <w:spacing w:after="0" w:line="240" w:lineRule="auto"/>
    </w:pPr>
  </w:style>
  <w:style w:type="paragraph" w:styleId="Header">
    <w:name w:val="header"/>
    <w:basedOn w:val="Normal"/>
    <w:link w:val="HeaderChar"/>
    <w:uiPriority w:val="99"/>
    <w:unhideWhenUsed/>
    <w:rsid w:val="00780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17E"/>
  </w:style>
  <w:style w:type="paragraph" w:styleId="Footer">
    <w:name w:val="footer"/>
    <w:basedOn w:val="Normal"/>
    <w:link w:val="FooterChar"/>
    <w:uiPriority w:val="99"/>
    <w:unhideWhenUsed/>
    <w:rsid w:val="00780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17E"/>
  </w:style>
  <w:style w:type="character" w:styleId="CommentReference">
    <w:name w:val="annotation reference"/>
    <w:basedOn w:val="DefaultParagraphFont"/>
    <w:uiPriority w:val="99"/>
    <w:semiHidden/>
    <w:unhideWhenUsed/>
    <w:rsid w:val="000960D2"/>
    <w:rPr>
      <w:sz w:val="16"/>
      <w:szCs w:val="16"/>
    </w:rPr>
  </w:style>
  <w:style w:type="paragraph" w:styleId="CommentText">
    <w:name w:val="annotation text"/>
    <w:basedOn w:val="Normal"/>
    <w:link w:val="CommentTextChar"/>
    <w:uiPriority w:val="99"/>
    <w:semiHidden/>
    <w:unhideWhenUsed/>
    <w:rsid w:val="000960D2"/>
    <w:pPr>
      <w:spacing w:line="240" w:lineRule="auto"/>
    </w:pPr>
    <w:rPr>
      <w:sz w:val="20"/>
      <w:szCs w:val="20"/>
    </w:rPr>
  </w:style>
  <w:style w:type="character" w:customStyle="1" w:styleId="CommentTextChar">
    <w:name w:val="Comment Text Char"/>
    <w:basedOn w:val="DefaultParagraphFont"/>
    <w:link w:val="CommentText"/>
    <w:uiPriority w:val="99"/>
    <w:semiHidden/>
    <w:rsid w:val="000960D2"/>
    <w:rPr>
      <w:sz w:val="20"/>
      <w:szCs w:val="20"/>
    </w:rPr>
  </w:style>
  <w:style w:type="paragraph" w:styleId="CommentSubject">
    <w:name w:val="annotation subject"/>
    <w:basedOn w:val="CommentText"/>
    <w:next w:val="CommentText"/>
    <w:link w:val="CommentSubjectChar"/>
    <w:uiPriority w:val="99"/>
    <w:semiHidden/>
    <w:unhideWhenUsed/>
    <w:rsid w:val="000960D2"/>
    <w:rPr>
      <w:b/>
      <w:bCs/>
    </w:rPr>
  </w:style>
  <w:style w:type="character" w:customStyle="1" w:styleId="CommentSubjectChar">
    <w:name w:val="Comment Subject Char"/>
    <w:basedOn w:val="CommentTextChar"/>
    <w:link w:val="CommentSubject"/>
    <w:uiPriority w:val="99"/>
    <w:semiHidden/>
    <w:rsid w:val="000960D2"/>
    <w:rPr>
      <w:b/>
      <w:bCs/>
      <w:sz w:val="20"/>
      <w:szCs w:val="20"/>
    </w:rPr>
  </w:style>
  <w:style w:type="character" w:styleId="UnresolvedMention">
    <w:name w:val="Unresolved Mention"/>
    <w:basedOn w:val="DefaultParagraphFont"/>
    <w:uiPriority w:val="99"/>
    <w:semiHidden/>
    <w:unhideWhenUsed/>
    <w:rsid w:val="00967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6018">
      <w:bodyDiv w:val="1"/>
      <w:marLeft w:val="0"/>
      <w:marRight w:val="0"/>
      <w:marTop w:val="0"/>
      <w:marBottom w:val="0"/>
      <w:divBdr>
        <w:top w:val="none" w:sz="0" w:space="0" w:color="auto"/>
        <w:left w:val="none" w:sz="0" w:space="0" w:color="auto"/>
        <w:bottom w:val="none" w:sz="0" w:space="0" w:color="auto"/>
        <w:right w:val="none" w:sz="0" w:space="0" w:color="auto"/>
      </w:divBdr>
      <w:divsChild>
        <w:div w:id="878977312">
          <w:marLeft w:val="403"/>
          <w:marRight w:val="0"/>
          <w:marTop w:val="0"/>
          <w:marBottom w:val="0"/>
          <w:divBdr>
            <w:top w:val="none" w:sz="0" w:space="0" w:color="auto"/>
            <w:left w:val="none" w:sz="0" w:space="0" w:color="auto"/>
            <w:bottom w:val="none" w:sz="0" w:space="0" w:color="auto"/>
            <w:right w:val="none" w:sz="0" w:space="0" w:color="auto"/>
          </w:divBdr>
        </w:div>
        <w:div w:id="894925589">
          <w:marLeft w:val="403"/>
          <w:marRight w:val="0"/>
          <w:marTop w:val="0"/>
          <w:marBottom w:val="0"/>
          <w:divBdr>
            <w:top w:val="none" w:sz="0" w:space="0" w:color="auto"/>
            <w:left w:val="none" w:sz="0" w:space="0" w:color="auto"/>
            <w:bottom w:val="none" w:sz="0" w:space="0" w:color="auto"/>
            <w:right w:val="none" w:sz="0" w:space="0" w:color="auto"/>
          </w:divBdr>
        </w:div>
        <w:div w:id="206574960">
          <w:marLeft w:val="403"/>
          <w:marRight w:val="0"/>
          <w:marTop w:val="0"/>
          <w:marBottom w:val="0"/>
          <w:divBdr>
            <w:top w:val="none" w:sz="0" w:space="0" w:color="auto"/>
            <w:left w:val="none" w:sz="0" w:space="0" w:color="auto"/>
            <w:bottom w:val="none" w:sz="0" w:space="0" w:color="auto"/>
            <w:right w:val="none" w:sz="0" w:space="0" w:color="auto"/>
          </w:divBdr>
        </w:div>
      </w:divsChild>
    </w:div>
    <w:div w:id="729426136">
      <w:bodyDiv w:val="1"/>
      <w:marLeft w:val="0"/>
      <w:marRight w:val="0"/>
      <w:marTop w:val="0"/>
      <w:marBottom w:val="0"/>
      <w:divBdr>
        <w:top w:val="none" w:sz="0" w:space="0" w:color="auto"/>
        <w:left w:val="none" w:sz="0" w:space="0" w:color="auto"/>
        <w:bottom w:val="none" w:sz="0" w:space="0" w:color="auto"/>
        <w:right w:val="none" w:sz="0" w:space="0" w:color="auto"/>
      </w:divBdr>
      <w:divsChild>
        <w:div w:id="655837560">
          <w:marLeft w:val="403"/>
          <w:marRight w:val="0"/>
          <w:marTop w:val="0"/>
          <w:marBottom w:val="0"/>
          <w:divBdr>
            <w:top w:val="none" w:sz="0" w:space="0" w:color="auto"/>
            <w:left w:val="none" w:sz="0" w:space="0" w:color="auto"/>
            <w:bottom w:val="none" w:sz="0" w:space="0" w:color="auto"/>
            <w:right w:val="none" w:sz="0" w:space="0" w:color="auto"/>
          </w:divBdr>
        </w:div>
      </w:divsChild>
    </w:div>
    <w:div w:id="926615127">
      <w:bodyDiv w:val="1"/>
      <w:marLeft w:val="0"/>
      <w:marRight w:val="0"/>
      <w:marTop w:val="0"/>
      <w:marBottom w:val="0"/>
      <w:divBdr>
        <w:top w:val="none" w:sz="0" w:space="0" w:color="auto"/>
        <w:left w:val="none" w:sz="0" w:space="0" w:color="auto"/>
        <w:bottom w:val="none" w:sz="0" w:space="0" w:color="auto"/>
        <w:right w:val="none" w:sz="0" w:space="0" w:color="auto"/>
      </w:divBdr>
      <w:divsChild>
        <w:div w:id="205333781">
          <w:marLeft w:val="403"/>
          <w:marRight w:val="0"/>
          <w:marTop w:val="0"/>
          <w:marBottom w:val="0"/>
          <w:divBdr>
            <w:top w:val="none" w:sz="0" w:space="0" w:color="auto"/>
            <w:left w:val="none" w:sz="0" w:space="0" w:color="auto"/>
            <w:bottom w:val="none" w:sz="0" w:space="0" w:color="auto"/>
            <w:right w:val="none" w:sz="0" w:space="0" w:color="auto"/>
          </w:divBdr>
        </w:div>
      </w:divsChild>
    </w:div>
    <w:div w:id="1204513869">
      <w:bodyDiv w:val="1"/>
      <w:marLeft w:val="0"/>
      <w:marRight w:val="0"/>
      <w:marTop w:val="0"/>
      <w:marBottom w:val="0"/>
      <w:divBdr>
        <w:top w:val="none" w:sz="0" w:space="0" w:color="auto"/>
        <w:left w:val="none" w:sz="0" w:space="0" w:color="auto"/>
        <w:bottom w:val="none" w:sz="0" w:space="0" w:color="auto"/>
        <w:right w:val="none" w:sz="0" w:space="0" w:color="auto"/>
      </w:divBdr>
    </w:div>
    <w:div w:id="1211722076">
      <w:bodyDiv w:val="1"/>
      <w:marLeft w:val="0"/>
      <w:marRight w:val="0"/>
      <w:marTop w:val="0"/>
      <w:marBottom w:val="0"/>
      <w:divBdr>
        <w:top w:val="none" w:sz="0" w:space="0" w:color="auto"/>
        <w:left w:val="none" w:sz="0" w:space="0" w:color="auto"/>
        <w:bottom w:val="none" w:sz="0" w:space="0" w:color="auto"/>
        <w:right w:val="none" w:sz="0" w:space="0" w:color="auto"/>
      </w:divBdr>
      <w:divsChild>
        <w:div w:id="856894355">
          <w:marLeft w:val="403"/>
          <w:marRight w:val="0"/>
          <w:marTop w:val="0"/>
          <w:marBottom w:val="0"/>
          <w:divBdr>
            <w:top w:val="none" w:sz="0" w:space="0" w:color="auto"/>
            <w:left w:val="none" w:sz="0" w:space="0" w:color="auto"/>
            <w:bottom w:val="none" w:sz="0" w:space="0" w:color="auto"/>
            <w:right w:val="none" w:sz="0" w:space="0" w:color="auto"/>
          </w:divBdr>
        </w:div>
      </w:divsChild>
    </w:div>
    <w:div w:id="1943149529">
      <w:bodyDiv w:val="1"/>
      <w:marLeft w:val="0"/>
      <w:marRight w:val="0"/>
      <w:marTop w:val="0"/>
      <w:marBottom w:val="0"/>
      <w:divBdr>
        <w:top w:val="none" w:sz="0" w:space="0" w:color="auto"/>
        <w:left w:val="none" w:sz="0" w:space="0" w:color="auto"/>
        <w:bottom w:val="none" w:sz="0" w:space="0" w:color="auto"/>
        <w:right w:val="none" w:sz="0" w:space="0" w:color="auto"/>
      </w:divBdr>
    </w:div>
    <w:div w:id="205091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fac.eu/priorities/sustainability/pefcr-fee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ucn.nl/app/uploads/2025/07/250626-IDH-Soy-Monitor.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fac.eu/wp-content/uploads/2025/05/Circularity-Catalogue_version-1.0-HIGH-RESOLUTION-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efac.eu/wp-content/uploads/2024/12/CGLP_v1.2_20241202-2-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efac.eu/priorities/sustainability/gfli/"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25D42-28C9-47B5-AA6F-DFF87625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1433</Words>
  <Characters>8174</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Morvan</dc:creator>
  <cp:lastModifiedBy>Anton van den Brink</cp:lastModifiedBy>
  <cp:revision>3</cp:revision>
  <dcterms:created xsi:type="dcterms:W3CDTF">2025-07-14T14:00:00Z</dcterms:created>
  <dcterms:modified xsi:type="dcterms:W3CDTF">2025-07-18T15:19:00Z</dcterms:modified>
</cp:coreProperties>
</file>